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5ED57" Type="http://schemas.openxmlformats.org/officeDocument/2006/relationships/officeDocument" Target="/word/document.xml" /><Relationship Id="coreR6635ED57" Type="http://schemas.openxmlformats.org/package/2006/relationships/metadata/core-properties" Target="/docProps/core.xml" /><Relationship Id="customR6635ED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 právní a další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spravování dokumentů v administrativně personální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agendy povinných lékařských prohlídek, BOZP a PO ve firmě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vzdělávání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náborových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a používání systémů hodnocení a odměňování zaměstnanců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Personalista, 30.9.2026 6:41:58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odpověď na test, řešení případové studie a prezentaci výsledků případové studie. Písemné ověření může být provedeno formou testu. V případě, že si autorizovaná osoba zvolí pro ověřování kompetencí formu testu, platí níže uvedená pravidla pro aplikaci písemných testů. Písemný test nemůže být jediným způsobem ověřování odborných kompetencí v rámci dílčí kvalifikace.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těchto kompetencí: Organizování vzdělávání zaměstnanců, Zajišťování náborových činností, Tvorba a používání systémů hodnocení a odměňování zaměstnanců, Organizování kolektivního vyjednávání.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Personalista, 30.9.2026 6:41:58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management a administrativu, v níž byly zastoupeny: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 Plan ČR,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Management Consulting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– ViP,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Johnson Controls 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Baest,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personálních služeb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UniCredit Bank Czech Republic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VZP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práce a sociálních věcí 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Personalista, 30.9.2026 6:41:58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