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1040A" Type="http://schemas.openxmlformats.org/officeDocument/2006/relationships/officeDocument" Target="/word/document.xml" /><Relationship Id="coreR2091040A" Type="http://schemas.openxmlformats.org/package/2006/relationships/metadata/core-properties" Target="/docProps/core.xml" /><Relationship Id="customR209104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hodnocení a odměňování zaměstnanců (kód: 62-012-R)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hodnocení a odměňování zaměstnanců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hodnotících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hodnocení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systému odměňování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udržování systémů zaměstnaneckých výhod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poznatků pro hodnocení a odměňování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hodnocení a odměňování zaměstnanců, 20.10.2026 12:04:01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hodnotících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hodnocení zaměstnanců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systém hodnocení a jeho vazby na odměňování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užívané metody hodnocení a proces tvorby hodnoticích standardů a kritérií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metody měření pracovního výkonu a přínosu konané práce podle zadaných kritérií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postup zjišťování a vyhodnocování pracovní spokojenosti zaměstnanců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úlohu motivace zaměstnanců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možnosti rozvíjení schopností a výkonu zaměstnanců</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problematice hodnocení zaměstnanců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Uvést vnitřní a vnější faktory ovlivňující přístup organizace k hodnocení zaměstnanců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b) Vysvětlit rozdíl mezi řízením pracovního výkonu a hodnocením zaměstnance</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c) Popsat stanovování úrovně odměny za práci v závislosti na typu a struktuře mzdy/platu</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d) Charakterizovat hodnoticí pohovor (školení hodnotitele, chyby atd.)</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e) Vysvětlit diference v přístupu k zaměstnancům a charakterizovat význam klíčových zaměstnanců</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Ústní ověření</w:t>
      </w:r>
    </w:p>
    <w:p>
      <w:pPr>
        <w:pStyle w:val="P16"/>
        <w:framePr w:w="6710" w:h="607" w:hRule="exact" w:wrap="none" w:vAnchor="page" w:hAnchor="margin" w:x="45" w:y="11021"/>
        <w:rPr>
          <w:rStyle w:val="C3"/>
          <w:rtl w:val="0"/>
        </w:rPr>
      </w:pPr>
    </w:p>
    <w:p>
      <w:pPr>
        <w:pStyle w:val="P17"/>
        <w:framePr w:w="6658" w:h="480" w:hRule="exact" w:wrap="none" w:vAnchor="page" w:hAnchor="margin" w:x="71" w:y="11077"/>
        <w:rPr>
          <w:rStyle w:val="C13"/>
          <w:rtl w:val="0"/>
        </w:rPr>
      </w:pPr>
      <w:r>
        <w:rPr>
          <w:rStyle w:val="C13"/>
          <w:rtl w:val="0"/>
        </w:rPr>
        <w:t>f) Analyzovat výsledky měření individuálního a týmového výkonu a vyjmenovat činitele mající vliv na odměňování</w:t>
      </w:r>
    </w:p>
    <w:p>
      <w:pPr>
        <w:pStyle w:val="P30"/>
        <w:framePr w:w="3921" w:h="607" w:hRule="exact" w:wrap="none" w:vAnchor="page" w:hAnchor="margin" w:x="6800" w:y="11021"/>
        <w:rPr>
          <w:rStyle w:val="C3"/>
          <w:rtl w:val="0"/>
        </w:rPr>
      </w:pPr>
    </w:p>
    <w:p>
      <w:pPr>
        <w:pStyle w:val="P31"/>
        <w:framePr w:w="3839" w:h="480" w:hRule="exact" w:wrap="none" w:vAnchor="page" w:hAnchor="margin" w:x="6856" w:y="11077"/>
        <w:rPr>
          <w:rStyle w:val="C22"/>
          <w:rtl w:val="0"/>
        </w:rPr>
      </w:pPr>
      <w:r>
        <w:rPr>
          <w:rStyle w:val="C22"/>
          <w:rtl w:val="0"/>
        </w:rPr>
        <w:t>Praktické předvedení a ústní ověření</w:t>
      </w:r>
    </w:p>
    <w:p>
      <w:pPr>
        <w:pStyle w:val="P12"/>
        <w:framePr w:w="6710" w:h="376" w:hRule="exact" w:wrap="none" w:vAnchor="page" w:hAnchor="margin" w:x="45" w:y="11628"/>
        <w:rPr>
          <w:rStyle w:val="C3"/>
          <w:rtl w:val="0"/>
        </w:rPr>
      </w:pPr>
    </w:p>
    <w:p>
      <w:pPr>
        <w:pStyle w:val="P13"/>
        <w:framePr w:w="6658" w:h="249" w:hRule="exact" w:wrap="none" w:vAnchor="page" w:hAnchor="margin" w:x="71" w:y="11684"/>
        <w:rPr>
          <w:rStyle w:val="C11"/>
          <w:rtl w:val="0"/>
        </w:rPr>
      </w:pPr>
      <w:r>
        <w:rPr>
          <w:rStyle w:val="C11"/>
          <w:rtl w:val="0"/>
        </w:rPr>
        <w:t>g) Předvést komunikaci pro sdělení výsledku hodnocení</w:t>
      </w:r>
    </w:p>
    <w:p>
      <w:pPr>
        <w:pStyle w:val="P28"/>
        <w:framePr w:w="3921" w:h="376" w:hRule="exact" w:wrap="none" w:vAnchor="page" w:hAnchor="margin" w:x="6800" w:y="11628"/>
        <w:rPr>
          <w:rStyle w:val="C3"/>
          <w:rtl w:val="0"/>
        </w:rPr>
      </w:pPr>
    </w:p>
    <w:p>
      <w:pPr>
        <w:pStyle w:val="P29"/>
        <w:framePr w:w="3839" w:h="249" w:hRule="exact" w:wrap="none" w:vAnchor="page" w:hAnchor="margin" w:x="6856" w:y="11684"/>
        <w:rPr>
          <w:rStyle w:val="C21"/>
          <w:rtl w:val="0"/>
        </w:rPr>
      </w:pPr>
      <w:r>
        <w:rPr>
          <w:rStyle w:val="C21"/>
          <w:rtl w:val="0"/>
        </w:rPr>
        <w:t>Praktické předvedení</w:t>
      </w:r>
    </w:p>
    <w:p>
      <w:pPr>
        <w:pStyle w:val="P16"/>
        <w:framePr w:w="6710" w:h="376" w:hRule="exact" w:wrap="none" w:vAnchor="page" w:hAnchor="margin" w:x="45" w:y="12004"/>
        <w:rPr>
          <w:rStyle w:val="C3"/>
          <w:rtl w:val="0"/>
        </w:rPr>
      </w:pPr>
    </w:p>
    <w:p>
      <w:pPr>
        <w:pStyle w:val="P17"/>
        <w:framePr w:w="6658" w:h="249" w:hRule="exact" w:wrap="none" w:vAnchor="page" w:hAnchor="margin" w:x="71" w:y="12060"/>
        <w:rPr>
          <w:rStyle w:val="C13"/>
          <w:rtl w:val="0"/>
        </w:rPr>
      </w:pPr>
      <w:r>
        <w:rPr>
          <w:rStyle w:val="C13"/>
          <w:rtl w:val="0"/>
        </w:rPr>
        <w:t>h) Popsat následná opatření po provedeném hodnocení</w:t>
      </w:r>
    </w:p>
    <w:p>
      <w:pPr>
        <w:pStyle w:val="P30"/>
        <w:framePr w:w="3921" w:h="376" w:hRule="exact" w:wrap="none" w:vAnchor="page" w:hAnchor="margin" w:x="6800" w:y="12004"/>
        <w:rPr>
          <w:rStyle w:val="C3"/>
          <w:rtl w:val="0"/>
        </w:rPr>
      </w:pPr>
    </w:p>
    <w:p>
      <w:pPr>
        <w:pStyle w:val="P31"/>
        <w:framePr w:w="3839" w:h="249" w:hRule="exact" w:wrap="none" w:vAnchor="page" w:hAnchor="margin" w:x="6856" w:y="12060"/>
        <w:rPr>
          <w:rStyle w:val="C22"/>
          <w:rtl w:val="0"/>
        </w:rPr>
      </w:pPr>
      <w:r>
        <w:rPr>
          <w:rStyle w:val="C22"/>
          <w:rtl w:val="0"/>
        </w:rPr>
        <w:t>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20.10.2026 12:04:01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systému odměňování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mzdou a platem, pojem zaručená mzda, určení platu, způsob stanovení mzdy/platu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příplatků k mzdě (příplatky dané legislativou, jdoucí nad její rámec)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pohyblivých složek, prémií a dalších odměn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vzájemný vztah jednotlivých složek mzdy/platu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vliv změn v odměňování na organizaci a její zaměstnance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Orientovat se v legislativě související s odměňováním zaměstnanců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Navrhnout systém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Vytváření a udržování systémů zaměstnaneckých výhod</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Vysvětlit pojem „zaměstnanecké výhody“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Vyjmenovat typy benefitů, popsat vymezení cílových skupin</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Vysvětlit smysl a funkce benefitů, jejich výhody a nevýhody pro zaměstnance i zaměstnavatele</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Charakterizovat poukázkový systém jako součást benefitního systému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rozdíl mezi pevným a volitelným systémem zaměstnaneckých výhod</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Aplikovat znalosti pravidel administrace benefitního systému a související legislativy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Využívání moderních poznatků pro hodnocení a odměňování zaměstnanců</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a) Vysvětlit funkci benchmarku, popsat jeho zdroje, realizaci a využití získaných dat</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Vysvětlit funkci HR controllingu</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vnější faktory působící na tvorbu odměňování podle oboru činnosti, skladby míst, kvality dostupných lidských zdrojů atd.</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Charakterizovat trh práce – zdroje a možnosti sledování, výstupy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Vysvětlit pojem objektivní hodnoty jednotlivých pracovních míst, vyjmenovat základní kritéria pro její měření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Identifikovat zdroje informací a pracovat s nimi</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vliv různých trendů v odměňování na příkladu fiktivní organizace</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20.10.2026 12:04:01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https://nsp.cz/jednotka-prace/specialista-hodnoceni-a-o#zdravotni-zpusobilost).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kritéria f) kompetence Vytváření systému odměňování. Testové otázky budou mít předdefinované odpovědi A až D, přičemž vždy musí být přesně jedna odpověď správně. Praktické ověřování se děje formou případové studie.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tyto testy stanovuje autorizovaná osoba podle požadavků hodnoticího standardu. Přitom musí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25 otázek, aby bylo umožněno řádově několik desítek různě sestavených testů.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10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 15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minimálně 10 případových studií, které je nutno použít pro ověření těchto kompetencí: Orientace v problematice hodnocení zaměstnanců; Vytváření systému odměňování; Vytváření a udržování systémů zaměstnaneckých výhod; Využívání moderních poznatků pro hodnocení a odměňování zaměstnanců.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problematice hodnocení zaměstnanců, kritérium g) uchazeč předvede ve spolupráci s figurantem sdělení výsledku hodnocení. Figurantem může být i člen zkušební komise.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20.10.2026 12:04:01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andragogiku, ekonomické a právní obory a alespoň 5 let odborné praxe v oblasti personalistiky se specializací na hodnocení a odměňování zaměstnanců nebo učitele VOŠ v oblasti personalistiky.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andragogiku, ekonomické a právní obory nebo učitelství a alespoň 5 let odborné praxe v oblasti personalistiky se specializací na hodnocení a odměňování zaměstnanců nebo ve funkci nebo učitele VOŠ v oblasti personalistiky.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hodnocení a odměňování zaměstnanců, 20.10.2026 12:04:01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aktuálními verzemi relevantních zákonů (zákoník práce v aktuálním znění zákona č. 262/2006 Sb. – pokud možno s komentářem; občanský zákoník; zákon o obchodních korporacích), PC event. notebookem s operačním systémem, textovým editorem, tabulkovým procesorem, programem pro tvorbu prezentací a připojením k internetu. Soubor testových otázek a případových studií, figurant.</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80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6522"/>
        <w:rPr>
          <w:rStyle w:val="C3"/>
          <w:rtl w:val="0"/>
        </w:rPr>
      </w:pPr>
    </w:p>
    <w:p>
      <w:pPr>
        <w:pStyle w:val="P35"/>
        <w:framePr w:w="10710" w:h="340" w:hRule="exact" w:wrap="none" w:vAnchor="page" w:hAnchor="margin" w:x="28" w:y="6522"/>
        <w:rPr>
          <w:rStyle w:val="C25"/>
          <w:rtl w:val="0"/>
        </w:rPr>
      </w:pPr>
      <w:r>
        <w:rPr>
          <w:rStyle w:val="C25"/>
          <w:rtl w:val="0"/>
        </w:rPr>
        <w:t>Doba pro vykonání zkoušky</w:t>
      </w:r>
    </w:p>
    <w:p>
      <w:pPr>
        <w:keepNext w:val="0"/>
        <w:keepLines w:val="0"/>
        <w:framePr w:w="10766" w:h="1036"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 toho 15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hodnocení a odměňování zaměstnanců, 20.10.2026 12:04:01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20.10.2026 12:04:01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D18D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4063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