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BC862F" Type="http://schemas.openxmlformats.org/officeDocument/2006/relationships/officeDocument" Target="/word/document.xml" /><Relationship Id="coreR36BC862F" Type="http://schemas.openxmlformats.org/package/2006/relationships/metadata/core-properties" Target="/docProps/core.xml" /><Relationship Id="customR36BC8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vzdělávání a rozvoje zaměstnanců, 30.9.2026 2:35:56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Stanovit požadavky na vybrané pozice v organizaci</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Vytváření zásad kariérového růstu zaměstnanců</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Charakterizovat systém řízení talentů</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Uvést hlavní charakteristiky vůdcovství (leadership)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30.9.2026 2:35:56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Národní soustavu kvalifikací (NSK) a její uplatnění v personální praxi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formy vzdělávacích akcí, uvést jejich klady a zápory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možnosti spolupráce s dalšími vzdělávacími subjekty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Charakterizovat způsob výchovy a vzdělávání interních lektorů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Sestavení vzdělávacího plánu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některé profese vyžadující pravidelné přezkušování nebo školení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Sestavit a vyhodnotit plán vzdělávání zaměstnanců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Sestavit a vyhodnotit finanční plán vzdělávání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Objasnit úlohu zpětné vazby ve vztahu k výkonu, potenciálu a rozvoji potřeb organizace</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Vyhodnocení efektivity vzdělávání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formy a možnosti sběru výsledků vzdělávacích akcí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Uvést možné modely hodnocení, jejich výhody a nevýhody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Vyhodnotit efektivitu vzdělávání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30.9.2026 2:35:56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ústní a praktickou část.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soubor 10 případových studií, které je nutno použít pro ověření praktických kritérií těchto kompetencí: Identifikování vzdělávacích potřeb ve vztahu k personálním potřebám firmy, Sestavení požadavků na pracovní pozici, Sestavení vzdělávacího plánu a Vyhodnocení efektivity vzdělávání. Autorizovaná osoba sestaví případovou studii tak, aby byla jednotlivá praktická kritéria ověřena v dostatečném rozsahu. Součástí zadání je i stručná charakteristika firmy, pro jejíž potřeby uchazeč plní úkoly v rámci případové studie.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vzdělávání a rozvoje zaměstnanců, 30.9.2026 2:35:56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humanitní, ekonomické nebo právní a alespoň 5 let odborné praxe v řídicích činnostech v oblasti personalistiky nebo vzdělávání v oblasti personalistiky.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řídicích činnostech v oblasti personalistiky nebo vzdělávání v oblasti personalistiky.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76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případně notebookem s operačním systémem, textovým editorem, tabulkovým procesorem, programem pro tvorbu prezentací a připojením k internetu, aktuálními verzemi relevantních zákonů (zákoník práce v aktuálním znění zákona č. 262/2006 Sb. s komentářem, občanský zákoník, zákon o obchodních korporacích) a soubor případových studií.</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80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pro vykonání zkoušky</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Zkouška nemůže být rozložena do více dnů.</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30.9.2026 2:35:56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30.9.2026 2:35:56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A0E6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426A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