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BD479" Type="http://schemas.openxmlformats.org/officeDocument/2006/relationships/officeDocument" Target="/word/document.xml" /><Relationship Id="coreR24DBD479" Type="http://schemas.openxmlformats.org/package/2006/relationships/metadata/core-properties" Target="/docProps/core.xml" /><Relationship Id="customR24DBD4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vzdělávání a rozvoje zaměstnanců, 20.10.2026 12:04:03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Stanovit požadavky na vybrané pozice v organizaci</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Vytváření zásad kariérového růstu zaměstnanců</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Charakterizovat systém řízení talentů</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Uvést hlavní charakteristiky vůdcovství (leadership)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20.10.2026 12:04:03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Národní soustavu kvalifikací (NSK) a její uplatnění v personální praxi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formy vzdělávacích akcí, uvést jejich klady a zápory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možnosti spolupráce s dalšími vzdělávacími subjekty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Charakterizovat způsob výchovy a vzdělávání interních lektorů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Sestavení vzdělávacího plánu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některé profese vyžadující pravidelné přezkušování nebo školení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Sestavit a vyhodnotit plán vzdělávání zaměstnanců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Sestavit a vyhodnotit finanční plán vzdělávání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Objasnit úlohu zpětné vazby ve vztahu k výkonu, potenciálu a rozvoji potřeb organizace</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Vyhodnocení efektivity vzdělávání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formy a možnosti sběru výsledků vzdělávacích akcí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Uvést možné modely hodnocení, jejich výhody a nevýhody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Vyhodnotit efektivitu vzdělávání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20.10.2026 12:04:03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ústní a praktickou část.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soubor 10 případových studií, které je nutno použít pro ověření praktických kritérií těchto kompetencí: Identifikování vzdělávacích potřeb ve vztahu k personálním potřebám firmy, Sestavení požadavků na pracovní pozici, Sestavení vzdělávacího plánu a Vyhodnocení efektivity vzdělávání. Autorizovaná osoba sestaví případovou studii tak, aby byla jednotlivá praktická kritéria ověřena v dostatečném rozsahu. Součástí zadání je i stručná charakteristika firmy, pro jejíž potřeby uchazeč plní úkoly v rámci případové studie.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vzdělávání a rozvoje zaměstnanců, 20.10.2026 12:04:03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humanitní, ekonomické nebo právní a alespoň 5 let odborné praxe v řídicích činnostech v oblasti personalistiky nebo vzdělávání v oblasti personalistiky.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řídicích činnostech v oblasti personalistiky nebo vzdělávání v oblasti personalistiky.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případně notebookem s operačním systémem, textovým editorem, tabulkovým procesorem, programem pro tvorbu prezentací a připojením k internetu, aktuálními verzemi relevantních zákonů (zákoník práce v aktuálním znění zákona č. 262/2006 Sb. s komentářem, občanský zákoník, zákon o obchodních korporacích) a soubor případových studií.</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80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pro vykonání zkoušky</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20.10.2026 12:04:03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20.10.2026 12:04:03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9FF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AFFF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