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7BC555" Type="http://schemas.openxmlformats.org/officeDocument/2006/relationships/officeDocument" Target="/word/document.xml" /><Relationship Id="coreR7F7BC555" Type="http://schemas.openxmlformats.org/package/2006/relationships/metadata/core-properties" Target="/docProps/core.xml" /><Relationship Id="customR7F7BC5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Sjednavatel pohřbení (kód: 69-021-M)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pohřební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komplexní objednávky smutečního obřadu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služeb vyplývajících z uzavřené příkazní smlouvy v oblasti pohřebnictví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Příjem platby za služby zabezpečované pohřební službou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Sjednavatel pohřbení, 20.8.2026 11:27:10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komplexní objednávky smutečního obřadu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kdo zodpovídá za kvalitu poskytované služby a které druhy pohřbívání by mohly vyústit v nelegální činy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všechny projevy vůle vypravitele pohřbu vyžádat si služby u provozovatele pohřební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Poučit vypravitele pohřbu o jeho právech, informovat ho o nabídce komplexní služby nebo dílčích úkonů, včetně vhodného souvisejícího zboží, a jejich cenách podle zadání</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Uvést, z čeho vyplývá právo předání osobních údajů vypravitele pohřbu matričnímu úřadu, právo na převzetí lidských pozůstatků ze zdravotnického zařízení nebo urny z krematoria</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Vytvořit návrh příkazní smlouvy pro zajištění pohřbení k uzavření smluvního vztahu mezi vypravitelem pohřbu (příkazcem) a provozovatelem pohřební služby (příkazníkem) dle zadání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Charakterizovat používání zboží (svíce, věnce, rakve, katafalk, patre, rubáš, atd.)určeného k smutečním obřadům a k pohřbení</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841"/>
        <w:rPr>
          <w:rStyle w:val="C3"/>
          <w:rtl w:val="0"/>
        </w:rPr>
      </w:pPr>
    </w:p>
    <w:p>
      <w:pPr>
        <w:pStyle w:val="P13"/>
        <w:framePr w:w="6658" w:h="480" w:hRule="exact" w:wrap="none" w:vAnchor="page" w:hAnchor="margin" w:x="71" w:y="7897"/>
        <w:rPr>
          <w:rStyle w:val="C11"/>
          <w:rtl w:val="0"/>
        </w:rPr>
      </w:pPr>
      <w:r>
        <w:rPr>
          <w:rStyle w:val="C11"/>
          <w:rtl w:val="0"/>
        </w:rPr>
        <w:t>g) Vytvořit interní pravidla provozovatele pohřební služby pro shromažďování a zpracování osobních údajů v souladu se zákonem o pohřebnictví a GDPR</w:t>
      </w:r>
    </w:p>
    <w:p>
      <w:pPr>
        <w:pStyle w:val="P28"/>
        <w:framePr w:w="3921" w:h="607" w:hRule="exact" w:wrap="none" w:vAnchor="page" w:hAnchor="margin" w:x="6800" w:y="7841"/>
        <w:rPr>
          <w:rStyle w:val="C3"/>
          <w:rtl w:val="0"/>
        </w:rPr>
      </w:pPr>
    </w:p>
    <w:p>
      <w:pPr>
        <w:pStyle w:val="P29"/>
        <w:framePr w:w="3839" w:h="480" w:hRule="exact" w:wrap="none" w:vAnchor="page" w:hAnchor="margin" w:x="6856" w:y="7897"/>
        <w:rPr>
          <w:rStyle w:val="C21"/>
          <w:rtl w:val="0"/>
        </w:rPr>
      </w:pPr>
      <w:r>
        <w:rPr>
          <w:rStyle w:val="C21"/>
          <w:rtl w:val="0"/>
        </w:rPr>
        <w:t>Praktické předvedení</w:t>
      </w:r>
    </w:p>
    <w:p>
      <w:pPr>
        <w:pStyle w:val="P16"/>
        <w:framePr w:w="6710" w:h="831" w:hRule="exact" w:wrap="none" w:vAnchor="page" w:hAnchor="margin" w:x="45" w:y="8448"/>
        <w:rPr>
          <w:rStyle w:val="C3"/>
          <w:rtl w:val="0"/>
        </w:rPr>
      </w:pPr>
    </w:p>
    <w:p>
      <w:pPr>
        <w:pStyle w:val="P17"/>
        <w:framePr w:w="6658" w:h="704" w:hRule="exact" w:wrap="none" w:vAnchor="page" w:hAnchor="margin" w:x="71" w:y="8504"/>
        <w:rPr>
          <w:rStyle w:val="C13"/>
          <w:rtl w:val="0"/>
        </w:rPr>
      </w:pPr>
      <w:r>
        <w:rPr>
          <w:rStyle w:val="C13"/>
          <w:rtl w:val="0"/>
        </w:rPr>
        <w:t>h) Vyjmenovat základní údaje uvedené v listu o prohlídce zemřelého v částech určených pro vypravitele pohřbu a provozovatele pohřební služby a specifikovat, v čem se liší a proč</w:t>
      </w:r>
    </w:p>
    <w:p>
      <w:pPr>
        <w:pStyle w:val="P30"/>
        <w:framePr w:w="3921" w:h="831" w:hRule="exact" w:wrap="none" w:vAnchor="page" w:hAnchor="margin" w:x="6800" w:y="8448"/>
        <w:rPr>
          <w:rStyle w:val="C3"/>
          <w:rtl w:val="0"/>
        </w:rPr>
      </w:pPr>
    </w:p>
    <w:p>
      <w:pPr>
        <w:pStyle w:val="P31"/>
        <w:framePr w:w="3839" w:h="704"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Zajištění služeb vyplývajících z uzavřené příkazní smlouvy v oblasti pohřebnictví</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a) Vysvětlit způsoby zajištění služeb vyplývajících z uzavřené příkazní smlouvy u třetích osob</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Ústní ověření</w:t>
      </w:r>
    </w:p>
    <w:p>
      <w:pPr>
        <w:pStyle w:val="P16"/>
        <w:framePr w:w="6710" w:h="376" w:hRule="exact" w:wrap="none" w:vAnchor="page" w:hAnchor="margin" w:x="45" w:y="11250"/>
        <w:rPr>
          <w:rStyle w:val="C3"/>
          <w:rtl w:val="0"/>
        </w:rPr>
      </w:pPr>
    </w:p>
    <w:p>
      <w:pPr>
        <w:pStyle w:val="P17"/>
        <w:framePr w:w="6658" w:h="249" w:hRule="exact" w:wrap="none" w:vAnchor="page" w:hAnchor="margin" w:x="71" w:y="11306"/>
        <w:rPr>
          <w:rStyle w:val="C13"/>
          <w:rtl w:val="0"/>
        </w:rPr>
      </w:pPr>
      <w:r>
        <w:rPr>
          <w:rStyle w:val="C13"/>
          <w:rtl w:val="0"/>
        </w:rPr>
        <w:t>b) Sestavit smuteční oznámení podle požadavků vypravitele pohřbu</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2"/>
          <w:rtl w:val="0"/>
        </w:rPr>
      </w:pPr>
      <w:r>
        <w:rPr>
          <w:rStyle w:val="C22"/>
          <w:rtl w:val="0"/>
        </w:rPr>
        <w:t>Praktické předvedení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Vytvořit základní pravidla účinné vnitřní kontroly kvality v průběhu poskytování služeb v souladu s § 7 a zákona o pohřebnictví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Praktické předvedení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Vyjmenovat doklady nutné k zajištění mezinárodního převozu lidských pozůstatků nebo ostatků</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Ústní ověření</w:t>
      </w:r>
    </w:p>
    <w:p>
      <w:pPr>
        <w:pStyle w:val="P12"/>
        <w:framePr w:w="6710" w:h="831" w:hRule="exact" w:wrap="none" w:vAnchor="page" w:hAnchor="margin" w:x="45" w:y="12840"/>
        <w:rPr>
          <w:rStyle w:val="C3"/>
          <w:rtl w:val="0"/>
        </w:rPr>
      </w:pPr>
    </w:p>
    <w:p>
      <w:pPr>
        <w:pStyle w:val="P13"/>
        <w:framePr w:w="6658" w:h="704" w:hRule="exact" w:wrap="none" w:vAnchor="page" w:hAnchor="margin" w:x="71" w:y="12896"/>
        <w:rPr>
          <w:rStyle w:val="C11"/>
          <w:rtl w:val="0"/>
        </w:rPr>
      </w:pPr>
      <w:r>
        <w:rPr>
          <w:rStyle w:val="C11"/>
          <w:rtl w:val="0"/>
        </w:rPr>
        <w:t>e) Popsat postup přípravy a kontroly zajištění sjednaných služeb v místě konání pohřebního obřadu, postup odsouhlasení s vypravitelem pohřbu a při řešení reklamací</w:t>
      </w:r>
    </w:p>
    <w:p>
      <w:pPr>
        <w:pStyle w:val="P28"/>
        <w:framePr w:w="3921" w:h="831" w:hRule="exact" w:wrap="none" w:vAnchor="page" w:hAnchor="margin" w:x="6800" w:y="12840"/>
        <w:rPr>
          <w:rStyle w:val="C3"/>
          <w:rtl w:val="0"/>
        </w:rPr>
      </w:pPr>
    </w:p>
    <w:p>
      <w:pPr>
        <w:pStyle w:val="P29"/>
        <w:framePr w:w="3839" w:h="704" w:hRule="exact" w:wrap="none" w:vAnchor="page" w:hAnchor="margin" w:x="6856" w:y="12896"/>
        <w:rPr>
          <w:rStyle w:val="C21"/>
          <w:rtl w:val="0"/>
        </w:rPr>
      </w:pPr>
      <w:r>
        <w:rPr>
          <w:rStyle w:val="C21"/>
          <w:rtl w:val="0"/>
        </w:rPr>
        <w:t>Ústní ověření</w:t>
      </w:r>
    </w:p>
    <w:p>
      <w:pPr>
        <w:pStyle w:val="P16"/>
        <w:framePr w:w="6710" w:h="376" w:hRule="exact" w:wrap="none" w:vAnchor="page" w:hAnchor="margin" w:x="45" w:y="13671"/>
        <w:rPr>
          <w:rStyle w:val="C3"/>
          <w:rtl w:val="0"/>
        </w:rPr>
      </w:pPr>
    </w:p>
    <w:p>
      <w:pPr>
        <w:pStyle w:val="P17"/>
        <w:framePr w:w="6658" w:h="249" w:hRule="exact" w:wrap="none" w:vAnchor="page" w:hAnchor="margin" w:x="71" w:y="13727"/>
        <w:rPr>
          <w:rStyle w:val="C13"/>
          <w:rtl w:val="0"/>
        </w:rPr>
      </w:pPr>
      <w:r>
        <w:rPr>
          <w:rStyle w:val="C13"/>
          <w:rtl w:val="0"/>
        </w:rPr>
        <w:t>f) Popsat zajištění smutečního konduktu</w:t>
      </w:r>
    </w:p>
    <w:p>
      <w:pPr>
        <w:pStyle w:val="P30"/>
        <w:framePr w:w="3921" w:h="376" w:hRule="exact" w:wrap="none" w:vAnchor="page" w:hAnchor="margin" w:x="6800" w:y="13671"/>
        <w:rPr>
          <w:rStyle w:val="C3"/>
          <w:rtl w:val="0"/>
        </w:rPr>
      </w:pPr>
    </w:p>
    <w:p>
      <w:pPr>
        <w:pStyle w:val="P31"/>
        <w:framePr w:w="3839" w:h="249" w:hRule="exact" w:wrap="none" w:vAnchor="page" w:hAnchor="margin" w:x="6856" w:y="13727"/>
        <w:rPr>
          <w:rStyle w:val="C22"/>
          <w:rtl w:val="0"/>
        </w:rPr>
      </w:pPr>
      <w:r>
        <w:rPr>
          <w:rStyle w:val="C22"/>
          <w:rtl w:val="0"/>
        </w:rPr>
        <w:t>Ústní ověření</w:t>
      </w:r>
    </w:p>
    <w:p>
      <w:pPr>
        <w:pStyle w:val="P32"/>
        <w:framePr w:w="10710" w:h="248" w:hRule="exact" w:wrap="none" w:vAnchor="page" w:hAnchor="margin" w:x="28" w:y="14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11:27:10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Předložit argumenty podporující důležitost důstojného rozloučení se zemřelým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vhodné úpravy zevnějšku sjednavatele pohřbení, rizika výběru některých prostředí a jeho vybavení pro průběh sjednávání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fiktivní telefonní hovor s pozůstalým (figurant) a vytvořit návrh odpovědi prostřednictvím elektronické pošty pozůstalému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jakými vhodnými způsoby lze u pozůstalých podporovat snahu o důstojné rozloučení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Identifikovat rizika, která mohou představovat některé situace ve smluvním vztahu mezi sjednavatelem pohřbení a vypravitelem pohřbu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Aplikování základních zásad pohřbívání v poradenství pro pozůstalé</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Vysvětlit, v kterých prostorách nelze sjednávat pohřbení a proč</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Vyjmenovat podmínky pro povolenou reklamu v pohřebnictví</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Poradit pozůstalým, jak uzavřít nájemní smlouvu k hrobovému místu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Vysvětlit účel parte, za jakých podmínek ho lze zveřejnit a formy kondolence</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Ústní ověření</w:t>
      </w:r>
    </w:p>
    <w:p>
      <w:pPr>
        <w:pStyle w:val="P12"/>
        <w:framePr w:w="6710" w:h="376" w:hRule="exact" w:wrap="none" w:vAnchor="page" w:hAnchor="margin" w:x="45" w:y="10318"/>
        <w:rPr>
          <w:rStyle w:val="C3"/>
          <w:rtl w:val="0"/>
        </w:rPr>
      </w:pPr>
    </w:p>
    <w:p>
      <w:pPr>
        <w:pStyle w:val="P13"/>
        <w:framePr w:w="6658" w:h="249" w:hRule="exact" w:wrap="none" w:vAnchor="page" w:hAnchor="margin" w:x="71" w:y="10374"/>
        <w:rPr>
          <w:rStyle w:val="C11"/>
          <w:rtl w:val="0"/>
        </w:rPr>
      </w:pPr>
      <w:r>
        <w:rPr>
          <w:rStyle w:val="C11"/>
          <w:rtl w:val="0"/>
        </w:rPr>
        <w:t>g) Vystavit doklad o účasti na pohřbu</w:t>
      </w:r>
    </w:p>
    <w:p>
      <w:pPr>
        <w:pStyle w:val="P28"/>
        <w:framePr w:w="3921" w:h="376" w:hRule="exact" w:wrap="none" w:vAnchor="page" w:hAnchor="margin" w:x="6800" w:y="10318"/>
        <w:rPr>
          <w:rStyle w:val="C3"/>
          <w:rtl w:val="0"/>
        </w:rPr>
      </w:pPr>
    </w:p>
    <w:p>
      <w:pPr>
        <w:pStyle w:val="P29"/>
        <w:framePr w:w="3839" w:h="249" w:hRule="exact" w:wrap="none" w:vAnchor="page" w:hAnchor="margin" w:x="6856" w:y="10374"/>
        <w:rPr>
          <w:rStyle w:val="C21"/>
          <w:rtl w:val="0"/>
        </w:rPr>
      </w:pPr>
      <w:r>
        <w:rPr>
          <w:rStyle w:val="C21"/>
          <w:rtl w:val="0"/>
        </w:rPr>
        <w:t>Praktické předvedení</w:t>
      </w:r>
    </w:p>
    <w:p>
      <w:pPr>
        <w:pStyle w:val="P16"/>
        <w:framePr w:w="6710" w:h="376" w:hRule="exact" w:wrap="none" w:vAnchor="page" w:hAnchor="margin" w:x="45" w:y="10694"/>
        <w:rPr>
          <w:rStyle w:val="C3"/>
          <w:rtl w:val="0"/>
        </w:rPr>
      </w:pPr>
    </w:p>
    <w:p>
      <w:pPr>
        <w:pStyle w:val="P17"/>
        <w:framePr w:w="6658" w:h="249" w:hRule="exact" w:wrap="none" w:vAnchor="page" w:hAnchor="margin" w:x="71" w:y="10750"/>
        <w:rPr>
          <w:rStyle w:val="C13"/>
          <w:rtl w:val="0"/>
        </w:rPr>
      </w:pPr>
      <w:r>
        <w:rPr>
          <w:rStyle w:val="C13"/>
          <w:rtl w:val="0"/>
        </w:rPr>
        <w:t>h) Poradit, jak postupovat při úmrtí mimo zdravotnické zařízení</w:t>
      </w:r>
    </w:p>
    <w:p>
      <w:pPr>
        <w:pStyle w:val="P30"/>
        <w:framePr w:w="3921" w:h="376" w:hRule="exact" w:wrap="none" w:vAnchor="page" w:hAnchor="margin" w:x="6800" w:y="10694"/>
        <w:rPr>
          <w:rStyle w:val="C3"/>
          <w:rtl w:val="0"/>
        </w:rPr>
      </w:pPr>
    </w:p>
    <w:p>
      <w:pPr>
        <w:pStyle w:val="P31"/>
        <w:framePr w:w="3839" w:h="249" w:hRule="exact" w:wrap="none" w:vAnchor="page" w:hAnchor="margin" w:x="6856" w:y="10750"/>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376" w:hRule="exact" w:wrap="none" w:vAnchor="page" w:hAnchor="margin" w:x="45" w:y="11677"/>
        <w:rPr>
          <w:rStyle w:val="C3"/>
          <w:rtl w:val="0"/>
        </w:rPr>
      </w:pPr>
    </w:p>
    <w:p>
      <w:pPr>
        <w:pStyle w:val="P17"/>
        <w:framePr w:w="6658" w:h="249" w:hRule="exact" w:wrap="none" w:vAnchor="page" w:hAnchor="margin" w:x="71" w:y="11733"/>
        <w:rPr>
          <w:rStyle w:val="C13"/>
          <w:rtl w:val="0"/>
        </w:rPr>
      </w:pPr>
      <w:r>
        <w:rPr>
          <w:rStyle w:val="C13"/>
          <w:rtl w:val="0"/>
        </w:rPr>
        <w:t>j) Nabídnout a vysvětlit více forem financování pohřbu</w:t>
      </w:r>
    </w:p>
    <w:p>
      <w:pPr>
        <w:pStyle w:val="P30"/>
        <w:framePr w:w="3921" w:h="376" w:hRule="exact" w:wrap="none" w:vAnchor="page" w:hAnchor="margin" w:x="6800" w:y="11677"/>
        <w:rPr>
          <w:rStyle w:val="C3"/>
          <w:rtl w:val="0"/>
        </w:rPr>
      </w:pPr>
    </w:p>
    <w:p>
      <w:pPr>
        <w:pStyle w:val="P31"/>
        <w:framePr w:w="3839" w:h="249" w:hRule="exact" w:wrap="none" w:vAnchor="page" w:hAnchor="margin" w:x="6856" w:y="11733"/>
        <w:rPr>
          <w:rStyle w:val="C22"/>
          <w:rtl w:val="0"/>
        </w:rPr>
      </w:pPr>
      <w:r>
        <w:rPr>
          <w:rStyle w:val="C22"/>
          <w:rtl w:val="0"/>
        </w:rPr>
        <w:t>Praktické předvedení a ústní ověření</w:t>
      </w:r>
    </w:p>
    <w:p>
      <w:pPr>
        <w:pStyle w:val="P12"/>
        <w:framePr w:w="6710" w:h="607" w:hRule="exact" w:wrap="none" w:vAnchor="page" w:hAnchor="margin" w:x="45" w:y="12053"/>
        <w:rPr>
          <w:rStyle w:val="C3"/>
          <w:rtl w:val="0"/>
        </w:rPr>
      </w:pPr>
    </w:p>
    <w:p>
      <w:pPr>
        <w:pStyle w:val="P13"/>
        <w:framePr w:w="6658" w:h="480" w:hRule="exact" w:wrap="none" w:vAnchor="page" w:hAnchor="margin" w:x="71" w:y="12109"/>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053"/>
        <w:rPr>
          <w:rStyle w:val="C3"/>
          <w:rtl w:val="0"/>
        </w:rPr>
      </w:pPr>
    </w:p>
    <w:p>
      <w:pPr>
        <w:pStyle w:val="P29"/>
        <w:framePr w:w="3839" w:h="480" w:hRule="exact" w:wrap="none" w:vAnchor="page" w:hAnchor="margin" w:x="6856" w:y="12109"/>
        <w:rPr>
          <w:rStyle w:val="C21"/>
          <w:rtl w:val="0"/>
        </w:rPr>
      </w:pPr>
      <w:r>
        <w:rPr>
          <w:rStyle w:val="C21"/>
          <w:rtl w:val="0"/>
        </w:rPr>
        <w:t>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Ústní ověření</w:t>
      </w:r>
    </w:p>
    <w:p>
      <w:pPr>
        <w:pStyle w:val="P32"/>
        <w:framePr w:w="10710" w:h="248" w:hRule="exact" w:wrap="none" w:vAnchor="page" w:hAnchor="margin" w:x="28" w:y="13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11:27:10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platby za služby zabezpečované pohřební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pokladní a účetní operace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údaje a data nutná pro fakturaci pohřebních služeb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základní postupy v dodavatelsko-odběratelských vztazích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Vystavit doklad o platbě za služby pohřební služby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Sjednavatel pohřbení, 20.8.2026 11:27:10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klade důraz nejen na znalosti a dovednosti uchazeče, ale i na jeho osobnostní předpoklady, především na jeho autentičnost, empatii, aktivní naslouchání, důvěru a vědomost respektovat sníženou schopnost pozůstalých vnímat detaily v nabízených službách.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komplexní objednávky smutečního obřadu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Příjem platby za služby zabezpečované pohřební službou</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na jehož základě uchazeč splní daná kritéria.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Aplikování základních principů poradenství pro pozůstalé na truchlící klienty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zajistí autorizovaná osoba figuranta a na modelové situaci předvede uchazeč s figurantem dané kritérium.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Zajištění služeb vyplývajících z uzavřené příkazní smlouvy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připraví požadavky, na jejichž základě uchazeč splní dané kritérium.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Sjednavatel pohřbení, 20.8.2026 11:27:10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provozování pohřební služby. </w:t>
      </w:r>
    </w:p>
    <w:p>
      <w:pPr>
        <w:keepNext w:val="0"/>
        <w:keepLines w:val="1"/>
        <w:framePr w:w="10766" w:h="615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69-021-M Sjednavatel pohřbení a alespoň 5 let odborné praxe v oblasti provozování pohřební služby.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5005"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sestavování objednávky pohřbu,</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pro sestavení smutečního oznámení,</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rakví a květinových darů, ceníky služeb pohřební služby,</w:t>
      </w:r>
    </w:p>
    <w:p>
      <w:pPr>
        <w:keepNext w:val="0"/>
        <w:keepLines w:val="1"/>
        <w:framePr w:w="10766" w:h="4665" w:hRule="exact" w:wrap="none" w:vAnchor="page" w:hAnchor="margin" w:x="0" w:y="94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 o prohlídce zemřelého, pokladní doklady.</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9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19"/>
        <w:rPr>
          <w:rStyle w:val="C3"/>
          <w:rtl w:val="0"/>
        </w:rPr>
      </w:pPr>
    </w:p>
    <w:p>
      <w:pPr>
        <w:pStyle w:val="P35"/>
        <w:framePr w:w="10710" w:h="340" w:hRule="exact" w:wrap="none" w:vAnchor="page" w:hAnchor="margin" w:x="28" w:y="14319"/>
        <w:rPr>
          <w:rStyle w:val="C25"/>
          <w:rtl w:val="0"/>
        </w:rPr>
      </w:pPr>
      <w:r>
        <w:rPr>
          <w:rStyle w:val="C25"/>
          <w:rtl w:val="0"/>
        </w:rPr>
        <w:t>Doba přípravy na zkoušku</w:t>
      </w:r>
    </w:p>
    <w:p>
      <w:pPr>
        <w:keepNext w:val="0"/>
        <w:keepLines w:val="0"/>
        <w:framePr w:w="10766" w:h="806" w:hRule="exact" w:wrap="none" w:vAnchor="page" w:hAnchor="margin" w:x="0" w:y="14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Sjednavatel pohřbení, 20.8.2026 11:27:10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Sjednavatel pohřbení, 20.8.2026 11:27:10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Sjednavatel pohřbení, 20.8.2026 11:27:10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81A0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E379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