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99950D" Type="http://schemas.openxmlformats.org/officeDocument/2006/relationships/officeDocument" Target="/word/document.xml" /><Relationship Id="coreR4999950D" Type="http://schemas.openxmlformats.org/package/2006/relationships/metadata/core-properties" Target="/docProps/core.xml" /><Relationship Id="customR4999950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Sjednavatel pohřbení (kód: 69-021-M)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pohřební služby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Sestavování komplexní objednávky smutečního obřadu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Zajištění služeb vyplývajících z uzavřené příkazní smlouvy v oblasti pohřebnictví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Aplikování základních principů poradenství pro pozůstalé na truchlící klienty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Aplikování základních zásad pohřbívání v poradenství pro pozůstalé</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Příjem platby za služby zabezpečované pohřební službou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Sjednavatel pohřbení, 30.9.2026 7:39:10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Sestavování komplexní objednávky smutečního obřadu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Objasnit, kdo zodpovídá za kvalitu poskytované služby a které druhy pohřbívání by mohly vyústit v nelegální činy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všechny projevy vůle vypravitele pohřbu vyžádat si služby u provozovatele pohřební služby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Poučit vypravitele pohřbu o jeho právech, informovat ho o nabídce komplexní služby nebo dílčích úkonů, včetně vhodného souvisejícího zboží, a jejich cenách podle zadání</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w:t>
      </w:r>
    </w:p>
    <w:p>
      <w:pPr>
        <w:pStyle w:val="P16"/>
        <w:framePr w:w="6710" w:h="831" w:hRule="exact" w:wrap="none" w:vAnchor="page" w:hAnchor="margin" w:x="45" w:y="5572"/>
        <w:rPr>
          <w:rStyle w:val="C3"/>
          <w:rtl w:val="0"/>
        </w:rPr>
      </w:pPr>
    </w:p>
    <w:p>
      <w:pPr>
        <w:pStyle w:val="P17"/>
        <w:framePr w:w="6658" w:h="704" w:hRule="exact" w:wrap="none" w:vAnchor="page" w:hAnchor="margin" w:x="71" w:y="5628"/>
        <w:rPr>
          <w:rStyle w:val="C13"/>
          <w:rtl w:val="0"/>
        </w:rPr>
      </w:pPr>
      <w:r>
        <w:rPr>
          <w:rStyle w:val="C13"/>
          <w:rtl w:val="0"/>
        </w:rPr>
        <w:t>d) Uvést, z čeho vyplývá právo předání osobních údajů vypravitele pohřbu matričnímu úřadu, právo na převzetí lidských pozůstatků ze zdravotnického zařízení nebo urny z krematoria</w:t>
      </w:r>
    </w:p>
    <w:p>
      <w:pPr>
        <w:pStyle w:val="P30"/>
        <w:framePr w:w="3921" w:h="831" w:hRule="exact" w:wrap="none" w:vAnchor="page" w:hAnchor="margin" w:x="6800" w:y="5572"/>
        <w:rPr>
          <w:rStyle w:val="C3"/>
          <w:rtl w:val="0"/>
        </w:rPr>
      </w:pPr>
    </w:p>
    <w:p>
      <w:pPr>
        <w:pStyle w:val="P31"/>
        <w:framePr w:w="3839" w:h="704" w:hRule="exact" w:wrap="none" w:vAnchor="page" w:hAnchor="margin" w:x="6856" w:y="5628"/>
        <w:rPr>
          <w:rStyle w:val="C22"/>
          <w:rtl w:val="0"/>
        </w:rPr>
      </w:pPr>
      <w:r>
        <w:rPr>
          <w:rStyle w:val="C22"/>
          <w:rtl w:val="0"/>
        </w:rPr>
        <w:t>Ústní ověření</w:t>
      </w:r>
    </w:p>
    <w:p>
      <w:pPr>
        <w:pStyle w:val="P12"/>
        <w:framePr w:w="6710" w:h="831" w:hRule="exact" w:wrap="none" w:vAnchor="page" w:hAnchor="margin" w:x="45" w:y="6403"/>
        <w:rPr>
          <w:rStyle w:val="C3"/>
          <w:rtl w:val="0"/>
        </w:rPr>
      </w:pPr>
    </w:p>
    <w:p>
      <w:pPr>
        <w:pStyle w:val="P13"/>
        <w:framePr w:w="6658" w:h="704" w:hRule="exact" w:wrap="none" w:vAnchor="page" w:hAnchor="margin" w:x="71" w:y="6459"/>
        <w:rPr>
          <w:rStyle w:val="C11"/>
          <w:rtl w:val="0"/>
        </w:rPr>
      </w:pPr>
      <w:r>
        <w:rPr>
          <w:rStyle w:val="C11"/>
          <w:rtl w:val="0"/>
        </w:rPr>
        <w:t>e) Vytvořit návrh příkazní smlouvy pro zajištění pohřbení k uzavření smluvního vztahu mezi vypravitelem pohřbu (příkazcem) a provozovatelem pohřební služby (příkazníkem) dle zadání</w:t>
      </w:r>
    </w:p>
    <w:p>
      <w:pPr>
        <w:pStyle w:val="P28"/>
        <w:framePr w:w="3921" w:h="831" w:hRule="exact" w:wrap="none" w:vAnchor="page" w:hAnchor="margin" w:x="6800" w:y="6403"/>
        <w:rPr>
          <w:rStyle w:val="C3"/>
          <w:rtl w:val="0"/>
        </w:rPr>
      </w:pPr>
    </w:p>
    <w:p>
      <w:pPr>
        <w:pStyle w:val="P29"/>
        <w:framePr w:w="3839" w:h="704" w:hRule="exact" w:wrap="none" w:vAnchor="page" w:hAnchor="margin" w:x="6856" w:y="6459"/>
        <w:rPr>
          <w:rStyle w:val="C21"/>
          <w:rtl w:val="0"/>
        </w:rPr>
      </w:pPr>
      <w:r>
        <w:rPr>
          <w:rStyle w:val="C21"/>
          <w:rtl w:val="0"/>
        </w:rPr>
        <w:t>Praktické předvedení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f) Charakterizovat používání zboží (svíce, věnce, rakve, katafalk, patre, rubáš, atd.)určeného k smutečním obřadům a k pohřbení</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Ústní ověření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g) Vytvořit interní pravidla provozovatele pohřební služby pro shromažďování a zpracování osobních údajů v souladu se zákonem o pohřebnictví a GDPR</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Praktické předvedení</w:t>
      </w:r>
    </w:p>
    <w:p>
      <w:pPr>
        <w:pStyle w:val="P16"/>
        <w:framePr w:w="6710" w:h="831" w:hRule="exact" w:wrap="none" w:vAnchor="page" w:hAnchor="margin" w:x="45" w:y="8448"/>
        <w:rPr>
          <w:rStyle w:val="C3"/>
          <w:rtl w:val="0"/>
        </w:rPr>
      </w:pPr>
    </w:p>
    <w:p>
      <w:pPr>
        <w:pStyle w:val="P17"/>
        <w:framePr w:w="6658" w:h="704" w:hRule="exact" w:wrap="none" w:vAnchor="page" w:hAnchor="margin" w:x="71" w:y="8504"/>
        <w:rPr>
          <w:rStyle w:val="C13"/>
          <w:rtl w:val="0"/>
        </w:rPr>
      </w:pPr>
      <w:r>
        <w:rPr>
          <w:rStyle w:val="C13"/>
          <w:rtl w:val="0"/>
        </w:rPr>
        <w:t>h) Vyjmenovat základní údaje uvedené v listu o prohlídce zemřelého v částech určených pro vypravitele pohřbu a provozovatele pohřební služby a specifikovat, v čem se liší a proč</w:t>
      </w:r>
    </w:p>
    <w:p>
      <w:pPr>
        <w:pStyle w:val="P30"/>
        <w:framePr w:w="3921" w:h="831" w:hRule="exact" w:wrap="none" w:vAnchor="page" w:hAnchor="margin" w:x="6800" w:y="8448"/>
        <w:rPr>
          <w:rStyle w:val="C3"/>
          <w:rtl w:val="0"/>
        </w:rPr>
      </w:pPr>
    </w:p>
    <w:p>
      <w:pPr>
        <w:pStyle w:val="P31"/>
        <w:framePr w:w="3839" w:h="704" w:hRule="exact" w:wrap="none" w:vAnchor="page" w:hAnchor="margin" w:x="6856" w:y="8504"/>
        <w:rPr>
          <w:rStyle w:val="C22"/>
          <w:rtl w:val="0"/>
        </w:rPr>
      </w:pPr>
      <w:r>
        <w:rPr>
          <w:rStyle w:val="C22"/>
          <w:rtl w:val="0"/>
        </w:rPr>
        <w:t>Praktické předvedení a ústní ověření</w:t>
      </w:r>
    </w:p>
    <w:p>
      <w:pPr>
        <w:pStyle w:val="P32"/>
        <w:framePr w:w="10710" w:h="248" w:hRule="exact" w:wrap="none" w:vAnchor="page" w:hAnchor="margin" w:x="28" w:y="9392"/>
        <w:rPr>
          <w:rStyle w:val="C23"/>
          <w:rtl w:val="0"/>
        </w:rPr>
      </w:pPr>
      <w:r>
        <w:rPr>
          <w:rStyle w:val="C23"/>
          <w:rtl w:val="0"/>
        </w:rPr>
        <w:t>Je třeba splnit všechna kritéria.</w:t>
      </w:r>
    </w:p>
    <w:p>
      <w:pPr>
        <w:pStyle w:val="P23"/>
        <w:framePr w:w="10710" w:h="340" w:hRule="exact" w:wrap="none" w:vAnchor="page" w:hAnchor="margin" w:x="28" w:y="9828"/>
        <w:rPr>
          <w:rStyle w:val="C18"/>
          <w:rtl w:val="0"/>
        </w:rPr>
      </w:pPr>
      <w:r>
        <w:rPr>
          <w:rStyle w:val="C18"/>
          <w:rtl w:val="0"/>
        </w:rPr>
        <w:t>Zajištění služeb vyplývajících z uzavřené příkazní smlouvy v oblasti pohřebnictví</w:t>
      </w:r>
    </w:p>
    <w:p>
      <w:pPr>
        <w:pStyle w:val="P24"/>
        <w:framePr w:w="6713" w:h="376" w:hRule="exact" w:wrap="none" w:vAnchor="page" w:hAnchor="margin" w:x="45" w:y="10267"/>
        <w:rPr>
          <w:rStyle w:val="C3"/>
          <w:rtl w:val="0"/>
        </w:rPr>
      </w:pPr>
    </w:p>
    <w:p>
      <w:pPr>
        <w:pStyle w:val="P25"/>
        <w:framePr w:w="6661" w:h="249" w:hRule="exact" w:wrap="none" w:vAnchor="page" w:hAnchor="margin" w:x="71" w:y="10338"/>
        <w:rPr>
          <w:rStyle w:val="C19"/>
          <w:rtl w:val="0"/>
        </w:rPr>
      </w:pPr>
      <w:r>
        <w:rPr>
          <w:rStyle w:val="C19"/>
          <w:rtl w:val="0"/>
        </w:rPr>
        <w:t>Kritéria hodnocení</w:t>
      </w:r>
    </w:p>
    <w:p>
      <w:pPr>
        <w:pStyle w:val="P26"/>
        <w:framePr w:w="3918" w:h="376" w:hRule="exact" w:wrap="none" w:vAnchor="page" w:hAnchor="margin" w:x="6803" w:y="10267"/>
        <w:rPr>
          <w:rStyle w:val="C3"/>
          <w:rtl w:val="0"/>
        </w:rPr>
      </w:pPr>
    </w:p>
    <w:p>
      <w:pPr>
        <w:pStyle w:val="P27"/>
        <w:framePr w:w="3836" w:h="249" w:hRule="exact" w:wrap="none" w:vAnchor="page" w:hAnchor="margin" w:x="6859" w:y="10338"/>
        <w:rPr>
          <w:rStyle w:val="C20"/>
          <w:rtl w:val="0"/>
        </w:rPr>
      </w:pPr>
      <w:r>
        <w:rPr>
          <w:rStyle w:val="C20"/>
          <w:rtl w:val="0"/>
        </w:rPr>
        <w:t>Způsoby ověření</w:t>
      </w:r>
    </w:p>
    <w:p>
      <w:pPr>
        <w:pStyle w:val="P12"/>
        <w:framePr w:w="6710" w:h="607" w:hRule="exact" w:wrap="none" w:vAnchor="page" w:hAnchor="margin" w:x="45" w:y="10644"/>
        <w:rPr>
          <w:rStyle w:val="C3"/>
          <w:rtl w:val="0"/>
        </w:rPr>
      </w:pPr>
    </w:p>
    <w:p>
      <w:pPr>
        <w:pStyle w:val="P13"/>
        <w:framePr w:w="6658" w:h="480" w:hRule="exact" w:wrap="none" w:vAnchor="page" w:hAnchor="margin" w:x="71" w:y="10700"/>
        <w:rPr>
          <w:rStyle w:val="C11"/>
          <w:rtl w:val="0"/>
        </w:rPr>
      </w:pPr>
      <w:r>
        <w:rPr>
          <w:rStyle w:val="C11"/>
          <w:rtl w:val="0"/>
        </w:rPr>
        <w:t>a) Vysvětlit způsoby zajištění služeb vyplývajících z uzavřené příkazní smlouvy u třetích osob</w:t>
      </w:r>
    </w:p>
    <w:p>
      <w:pPr>
        <w:pStyle w:val="P28"/>
        <w:framePr w:w="3921" w:h="607" w:hRule="exact" w:wrap="none" w:vAnchor="page" w:hAnchor="margin" w:x="6800" w:y="10644"/>
        <w:rPr>
          <w:rStyle w:val="C3"/>
          <w:rtl w:val="0"/>
        </w:rPr>
      </w:pPr>
    </w:p>
    <w:p>
      <w:pPr>
        <w:pStyle w:val="P29"/>
        <w:framePr w:w="3839" w:h="480" w:hRule="exact" w:wrap="none" w:vAnchor="page" w:hAnchor="margin" w:x="6856" w:y="10700"/>
        <w:rPr>
          <w:rStyle w:val="C21"/>
          <w:rtl w:val="0"/>
        </w:rPr>
      </w:pPr>
      <w:r>
        <w:rPr>
          <w:rStyle w:val="C21"/>
          <w:rtl w:val="0"/>
        </w:rPr>
        <w:t>Ústní ověření</w:t>
      </w:r>
    </w:p>
    <w:p>
      <w:pPr>
        <w:pStyle w:val="P16"/>
        <w:framePr w:w="6710" w:h="376" w:hRule="exact" w:wrap="none" w:vAnchor="page" w:hAnchor="margin" w:x="45" w:y="11250"/>
        <w:rPr>
          <w:rStyle w:val="C3"/>
          <w:rtl w:val="0"/>
        </w:rPr>
      </w:pPr>
    </w:p>
    <w:p>
      <w:pPr>
        <w:pStyle w:val="P17"/>
        <w:framePr w:w="6658" w:h="249" w:hRule="exact" w:wrap="none" w:vAnchor="page" w:hAnchor="margin" w:x="71" w:y="11306"/>
        <w:rPr>
          <w:rStyle w:val="C13"/>
          <w:rtl w:val="0"/>
        </w:rPr>
      </w:pPr>
      <w:r>
        <w:rPr>
          <w:rStyle w:val="C13"/>
          <w:rtl w:val="0"/>
        </w:rPr>
        <w:t>b) Sestavit smuteční oznámení podle požadavků vypravitele pohřbu</w:t>
      </w:r>
    </w:p>
    <w:p>
      <w:pPr>
        <w:pStyle w:val="P30"/>
        <w:framePr w:w="3921" w:h="376" w:hRule="exact" w:wrap="none" w:vAnchor="page" w:hAnchor="margin" w:x="6800" w:y="11250"/>
        <w:rPr>
          <w:rStyle w:val="C3"/>
          <w:rtl w:val="0"/>
        </w:rPr>
      </w:pPr>
    </w:p>
    <w:p>
      <w:pPr>
        <w:pStyle w:val="P31"/>
        <w:framePr w:w="3839" w:h="249" w:hRule="exact" w:wrap="none" w:vAnchor="page" w:hAnchor="margin" w:x="6856" w:y="11306"/>
        <w:rPr>
          <w:rStyle w:val="C22"/>
          <w:rtl w:val="0"/>
        </w:rPr>
      </w:pPr>
      <w:r>
        <w:rPr>
          <w:rStyle w:val="C22"/>
          <w:rtl w:val="0"/>
        </w:rPr>
        <w:t>Praktické předvedení</w:t>
      </w:r>
    </w:p>
    <w:p>
      <w:pPr>
        <w:pStyle w:val="P12"/>
        <w:framePr w:w="6710" w:h="607" w:hRule="exact" w:wrap="none" w:vAnchor="page" w:hAnchor="margin" w:x="45" w:y="11627"/>
        <w:rPr>
          <w:rStyle w:val="C3"/>
          <w:rtl w:val="0"/>
        </w:rPr>
      </w:pPr>
    </w:p>
    <w:p>
      <w:pPr>
        <w:pStyle w:val="P13"/>
        <w:framePr w:w="6658" w:h="480" w:hRule="exact" w:wrap="none" w:vAnchor="page" w:hAnchor="margin" w:x="71" w:y="11683"/>
        <w:rPr>
          <w:rStyle w:val="C11"/>
          <w:rtl w:val="0"/>
        </w:rPr>
      </w:pPr>
      <w:r>
        <w:rPr>
          <w:rStyle w:val="C11"/>
          <w:rtl w:val="0"/>
        </w:rPr>
        <w:t>c) Vytvořit základní pravidla účinné vnitřní kontroly kvality v průběhu poskytování služeb v souladu s § 7 a zákona o pohřebnictví</w:t>
      </w:r>
    </w:p>
    <w:p>
      <w:pPr>
        <w:pStyle w:val="P28"/>
        <w:framePr w:w="3921" w:h="607" w:hRule="exact" w:wrap="none" w:vAnchor="page" w:hAnchor="margin" w:x="6800" w:y="11627"/>
        <w:rPr>
          <w:rStyle w:val="C3"/>
          <w:rtl w:val="0"/>
        </w:rPr>
      </w:pPr>
    </w:p>
    <w:p>
      <w:pPr>
        <w:pStyle w:val="P29"/>
        <w:framePr w:w="3839" w:h="480" w:hRule="exact" w:wrap="none" w:vAnchor="page" w:hAnchor="margin" w:x="6856" w:y="11683"/>
        <w:rPr>
          <w:rStyle w:val="C21"/>
          <w:rtl w:val="0"/>
        </w:rPr>
      </w:pPr>
      <w:r>
        <w:rPr>
          <w:rStyle w:val="C21"/>
          <w:rtl w:val="0"/>
        </w:rPr>
        <w:t>Praktické předvedení</w:t>
      </w:r>
    </w:p>
    <w:p>
      <w:pPr>
        <w:pStyle w:val="P16"/>
        <w:framePr w:w="6710" w:h="607" w:hRule="exact" w:wrap="none" w:vAnchor="page" w:hAnchor="margin" w:x="45" w:y="12233"/>
        <w:rPr>
          <w:rStyle w:val="C3"/>
          <w:rtl w:val="0"/>
        </w:rPr>
      </w:pPr>
    </w:p>
    <w:p>
      <w:pPr>
        <w:pStyle w:val="P17"/>
        <w:framePr w:w="6658" w:h="480" w:hRule="exact" w:wrap="none" w:vAnchor="page" w:hAnchor="margin" w:x="71" w:y="12289"/>
        <w:rPr>
          <w:rStyle w:val="C13"/>
          <w:rtl w:val="0"/>
        </w:rPr>
      </w:pPr>
      <w:r>
        <w:rPr>
          <w:rStyle w:val="C13"/>
          <w:rtl w:val="0"/>
        </w:rPr>
        <w:t>d) Vyjmenovat doklady nutné k zajištění mezinárodního převozu lidských pozůstatků nebo ostatků</w:t>
      </w:r>
    </w:p>
    <w:p>
      <w:pPr>
        <w:pStyle w:val="P30"/>
        <w:framePr w:w="3921" w:h="607" w:hRule="exact" w:wrap="none" w:vAnchor="page" w:hAnchor="margin" w:x="6800" w:y="12233"/>
        <w:rPr>
          <w:rStyle w:val="C3"/>
          <w:rtl w:val="0"/>
        </w:rPr>
      </w:pPr>
    </w:p>
    <w:p>
      <w:pPr>
        <w:pStyle w:val="P31"/>
        <w:framePr w:w="3839" w:h="480" w:hRule="exact" w:wrap="none" w:vAnchor="page" w:hAnchor="margin" w:x="6856" w:y="12289"/>
        <w:rPr>
          <w:rStyle w:val="C22"/>
          <w:rtl w:val="0"/>
        </w:rPr>
      </w:pPr>
      <w:r>
        <w:rPr>
          <w:rStyle w:val="C22"/>
          <w:rtl w:val="0"/>
        </w:rPr>
        <w:t>Ústní ověření</w:t>
      </w:r>
    </w:p>
    <w:p>
      <w:pPr>
        <w:pStyle w:val="P12"/>
        <w:framePr w:w="6710" w:h="831" w:hRule="exact" w:wrap="none" w:vAnchor="page" w:hAnchor="margin" w:x="45" w:y="12840"/>
        <w:rPr>
          <w:rStyle w:val="C3"/>
          <w:rtl w:val="0"/>
        </w:rPr>
      </w:pPr>
    </w:p>
    <w:p>
      <w:pPr>
        <w:pStyle w:val="P13"/>
        <w:framePr w:w="6658" w:h="704" w:hRule="exact" w:wrap="none" w:vAnchor="page" w:hAnchor="margin" w:x="71" w:y="12896"/>
        <w:rPr>
          <w:rStyle w:val="C11"/>
          <w:rtl w:val="0"/>
        </w:rPr>
      </w:pPr>
      <w:r>
        <w:rPr>
          <w:rStyle w:val="C11"/>
          <w:rtl w:val="0"/>
        </w:rPr>
        <w:t>e) Popsat postup přípravy a kontroly zajištění sjednaných služeb v místě konání pohřebního obřadu, postup odsouhlasení s vypravitelem pohřbu a při řešení reklamací</w:t>
      </w:r>
    </w:p>
    <w:p>
      <w:pPr>
        <w:pStyle w:val="P28"/>
        <w:framePr w:w="3921" w:h="831" w:hRule="exact" w:wrap="none" w:vAnchor="page" w:hAnchor="margin" w:x="6800" w:y="12840"/>
        <w:rPr>
          <w:rStyle w:val="C3"/>
          <w:rtl w:val="0"/>
        </w:rPr>
      </w:pPr>
    </w:p>
    <w:p>
      <w:pPr>
        <w:pStyle w:val="P29"/>
        <w:framePr w:w="3839" w:h="704" w:hRule="exact" w:wrap="none" w:vAnchor="page" w:hAnchor="margin" w:x="6856" w:y="12896"/>
        <w:rPr>
          <w:rStyle w:val="C21"/>
          <w:rtl w:val="0"/>
        </w:rPr>
      </w:pPr>
      <w:r>
        <w:rPr>
          <w:rStyle w:val="C21"/>
          <w:rtl w:val="0"/>
        </w:rPr>
        <w:t>Ústní ověření</w:t>
      </w:r>
    </w:p>
    <w:p>
      <w:pPr>
        <w:pStyle w:val="P16"/>
        <w:framePr w:w="6710" w:h="376" w:hRule="exact" w:wrap="none" w:vAnchor="page" w:hAnchor="margin" w:x="45" w:y="13671"/>
        <w:rPr>
          <w:rStyle w:val="C3"/>
          <w:rtl w:val="0"/>
        </w:rPr>
      </w:pPr>
    </w:p>
    <w:p>
      <w:pPr>
        <w:pStyle w:val="P17"/>
        <w:framePr w:w="6658" w:h="249" w:hRule="exact" w:wrap="none" w:vAnchor="page" w:hAnchor="margin" w:x="71" w:y="13727"/>
        <w:rPr>
          <w:rStyle w:val="C13"/>
          <w:rtl w:val="0"/>
        </w:rPr>
      </w:pPr>
      <w:r>
        <w:rPr>
          <w:rStyle w:val="C13"/>
          <w:rtl w:val="0"/>
        </w:rPr>
        <w:t>f) Popsat zajištění smutečního konduktu</w:t>
      </w:r>
    </w:p>
    <w:p>
      <w:pPr>
        <w:pStyle w:val="P30"/>
        <w:framePr w:w="3921" w:h="376" w:hRule="exact" w:wrap="none" w:vAnchor="page" w:hAnchor="margin" w:x="6800" w:y="13671"/>
        <w:rPr>
          <w:rStyle w:val="C3"/>
          <w:rtl w:val="0"/>
        </w:rPr>
      </w:pPr>
    </w:p>
    <w:p>
      <w:pPr>
        <w:pStyle w:val="P31"/>
        <w:framePr w:w="3839" w:h="249" w:hRule="exact" w:wrap="none" w:vAnchor="page" w:hAnchor="margin" w:x="6856" w:y="13727"/>
        <w:rPr>
          <w:rStyle w:val="C22"/>
          <w:rtl w:val="0"/>
        </w:rPr>
      </w:pPr>
      <w:r>
        <w:rPr>
          <w:rStyle w:val="C22"/>
          <w:rtl w:val="0"/>
        </w:rPr>
        <w:t>Ústní ověření</w:t>
      </w:r>
    </w:p>
    <w:p>
      <w:pPr>
        <w:pStyle w:val="P32"/>
        <w:framePr w:w="10710" w:h="248" w:hRule="exact" w:wrap="none" w:vAnchor="page" w:hAnchor="margin" w:x="28" w:y="141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Sjednavatel pohřbení, 30.9.2026 7:39:10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Aplikování základních principů poradenství pro pozůstalé na truchlící klienty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Předložit argumenty podporující důležitost důstojného rozloučení se zemřelým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příklady vhodné úpravy zevnějšku sjednavatele pohřbení, rizika výběru některých prostředí a jeho vybavení pro průběh sjednávání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Předvést fiktivní telefonní hovor s pozůstalým (figurant) a vytvořit návrh odpovědi prostřednictvím elektronické pošty pozůstalému podle zadání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jakými vhodnými způsoby lze u pozůstalých podporovat snahu o důstojné rozloučení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Identifikovat rizika, která mohou představovat některé situace ve smluvním vztahu mezi sjednavatelem pohřbení a vypravitelem pohřbu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Aplikování základních zásad pohřbívání v poradenství pro pozůstalé</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a) Vysvětlit, v kterých prostorách nelze sjednávat pohřbení a proč</w:t>
      </w:r>
    </w:p>
    <w:p>
      <w:pPr>
        <w:pStyle w:val="P28"/>
        <w:framePr w:w="3921" w:h="376" w:hRule="exact" w:wrap="none" w:vAnchor="page" w:hAnchor="margin" w:x="6800" w:y="7368"/>
        <w:rPr>
          <w:rStyle w:val="C3"/>
          <w:rtl w:val="0"/>
        </w:rPr>
      </w:pPr>
    </w:p>
    <w:p>
      <w:pPr>
        <w:pStyle w:val="P29"/>
        <w:framePr w:w="3839" w:h="249" w:hRule="exact" w:wrap="none" w:vAnchor="page" w:hAnchor="margin" w:x="6856" w:y="7424"/>
        <w:rPr>
          <w:rStyle w:val="C21"/>
          <w:rtl w:val="0"/>
        </w:rPr>
      </w:pPr>
      <w:r>
        <w:rPr>
          <w:rStyle w:val="C21"/>
          <w:rtl w:val="0"/>
        </w:rPr>
        <w:t>Ústní ověření</w:t>
      </w:r>
    </w:p>
    <w:p>
      <w:pPr>
        <w:pStyle w:val="P16"/>
        <w:framePr w:w="6710" w:h="376" w:hRule="exact" w:wrap="none" w:vAnchor="page" w:hAnchor="margin" w:x="45" w:y="7745"/>
        <w:rPr>
          <w:rStyle w:val="C3"/>
          <w:rtl w:val="0"/>
        </w:rPr>
      </w:pPr>
    </w:p>
    <w:p>
      <w:pPr>
        <w:pStyle w:val="P17"/>
        <w:framePr w:w="6658" w:h="249" w:hRule="exact" w:wrap="none" w:vAnchor="page" w:hAnchor="margin" w:x="71" w:y="7801"/>
        <w:rPr>
          <w:rStyle w:val="C13"/>
          <w:rtl w:val="0"/>
        </w:rPr>
      </w:pPr>
      <w:r>
        <w:rPr>
          <w:rStyle w:val="C13"/>
          <w:rtl w:val="0"/>
        </w:rPr>
        <w:t>b) Vyjmenovat podmínky pro povolenou reklamu v pohřebnictví</w:t>
      </w:r>
    </w:p>
    <w:p>
      <w:pPr>
        <w:pStyle w:val="P30"/>
        <w:framePr w:w="3921" w:h="376" w:hRule="exact" w:wrap="none" w:vAnchor="page" w:hAnchor="margin" w:x="6800" w:y="7745"/>
        <w:rPr>
          <w:rStyle w:val="C3"/>
          <w:rtl w:val="0"/>
        </w:rPr>
      </w:pPr>
    </w:p>
    <w:p>
      <w:pPr>
        <w:pStyle w:val="P31"/>
        <w:framePr w:w="3839" w:h="249" w:hRule="exact" w:wrap="none" w:vAnchor="page" w:hAnchor="margin" w:x="6856" w:y="7801"/>
        <w:rPr>
          <w:rStyle w:val="C22"/>
          <w:rtl w:val="0"/>
        </w:rPr>
      </w:pPr>
      <w:r>
        <w:rPr>
          <w:rStyle w:val="C22"/>
          <w:rtl w:val="0"/>
        </w:rPr>
        <w:t>Ústní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c) Popsat, co musí vypravitel pohřbu přinést s sebou do provozovny pohřební služby, aby mohl sjednat pohřbení</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Ústní ověření</w:t>
      </w:r>
    </w:p>
    <w:p>
      <w:pPr>
        <w:pStyle w:val="P16"/>
        <w:framePr w:w="6710" w:h="376" w:hRule="exact" w:wrap="none" w:vAnchor="page" w:hAnchor="margin" w:x="45" w:y="8728"/>
        <w:rPr>
          <w:rStyle w:val="C3"/>
          <w:rtl w:val="0"/>
        </w:rPr>
      </w:pPr>
    </w:p>
    <w:p>
      <w:pPr>
        <w:pStyle w:val="P17"/>
        <w:framePr w:w="6658" w:h="249" w:hRule="exact" w:wrap="none" w:vAnchor="page" w:hAnchor="margin" w:x="71" w:y="8784"/>
        <w:rPr>
          <w:rStyle w:val="C13"/>
          <w:rtl w:val="0"/>
        </w:rPr>
      </w:pPr>
      <w:r>
        <w:rPr>
          <w:rStyle w:val="C13"/>
          <w:rtl w:val="0"/>
        </w:rPr>
        <w:t>d) Poradit pozůstalým, jak uzavřít nájemní smlouvu k hrobovému místu</w:t>
      </w:r>
    </w:p>
    <w:p>
      <w:pPr>
        <w:pStyle w:val="P30"/>
        <w:framePr w:w="3921" w:h="376" w:hRule="exact" w:wrap="none" w:vAnchor="page" w:hAnchor="margin" w:x="6800" w:y="8728"/>
        <w:rPr>
          <w:rStyle w:val="C3"/>
          <w:rtl w:val="0"/>
        </w:rPr>
      </w:pPr>
    </w:p>
    <w:p>
      <w:pPr>
        <w:pStyle w:val="P31"/>
        <w:framePr w:w="3839" w:h="249" w:hRule="exact" w:wrap="none" w:vAnchor="page" w:hAnchor="margin" w:x="6856" w:y="8784"/>
        <w:rPr>
          <w:rStyle w:val="C22"/>
          <w:rtl w:val="0"/>
        </w:rPr>
      </w:pPr>
      <w:r>
        <w:rPr>
          <w:rStyle w:val="C22"/>
          <w:rtl w:val="0"/>
        </w:rPr>
        <w:t>Praktické předvedení a ústní ověření</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e) Vysvětlit účel parte, za jakých podmínek ho lze zveřejnit a formy kondolence</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Ústní ověření</w:t>
      </w:r>
    </w:p>
    <w:p>
      <w:pPr>
        <w:pStyle w:val="P16"/>
        <w:framePr w:w="6710" w:h="607" w:hRule="exact" w:wrap="none" w:vAnchor="page" w:hAnchor="margin" w:x="45" w:y="9711"/>
        <w:rPr>
          <w:rStyle w:val="C3"/>
          <w:rtl w:val="0"/>
        </w:rPr>
      </w:pPr>
    </w:p>
    <w:p>
      <w:pPr>
        <w:pStyle w:val="P17"/>
        <w:framePr w:w="6658" w:h="480" w:hRule="exact" w:wrap="none" w:vAnchor="page" w:hAnchor="margin" w:x="71" w:y="9767"/>
        <w:rPr>
          <w:rStyle w:val="C13"/>
          <w:rtl w:val="0"/>
        </w:rPr>
      </w:pPr>
      <w:r>
        <w:rPr>
          <w:rStyle w:val="C13"/>
          <w:rtl w:val="0"/>
        </w:rPr>
        <w:t>f) Vyjmenovat zákonné možnosti čerpání pracovního volna s náhradou mzdy nebo platu na pohřební obřad</w:t>
      </w:r>
    </w:p>
    <w:p>
      <w:pPr>
        <w:pStyle w:val="P30"/>
        <w:framePr w:w="3921" w:h="607" w:hRule="exact" w:wrap="none" w:vAnchor="page" w:hAnchor="margin" w:x="6800" w:y="9711"/>
        <w:rPr>
          <w:rStyle w:val="C3"/>
          <w:rtl w:val="0"/>
        </w:rPr>
      </w:pPr>
    </w:p>
    <w:p>
      <w:pPr>
        <w:pStyle w:val="P31"/>
        <w:framePr w:w="3839" w:h="480" w:hRule="exact" w:wrap="none" w:vAnchor="page" w:hAnchor="margin" w:x="6856" w:y="9767"/>
        <w:rPr>
          <w:rStyle w:val="C22"/>
          <w:rtl w:val="0"/>
        </w:rPr>
      </w:pPr>
      <w:r>
        <w:rPr>
          <w:rStyle w:val="C22"/>
          <w:rtl w:val="0"/>
        </w:rPr>
        <w:t>Ústní ověření</w:t>
      </w:r>
    </w:p>
    <w:p>
      <w:pPr>
        <w:pStyle w:val="P12"/>
        <w:framePr w:w="6710" w:h="376" w:hRule="exact" w:wrap="none" w:vAnchor="page" w:hAnchor="margin" w:x="45" w:y="10318"/>
        <w:rPr>
          <w:rStyle w:val="C3"/>
          <w:rtl w:val="0"/>
        </w:rPr>
      </w:pPr>
    </w:p>
    <w:p>
      <w:pPr>
        <w:pStyle w:val="P13"/>
        <w:framePr w:w="6658" w:h="249" w:hRule="exact" w:wrap="none" w:vAnchor="page" w:hAnchor="margin" w:x="71" w:y="10374"/>
        <w:rPr>
          <w:rStyle w:val="C11"/>
          <w:rtl w:val="0"/>
        </w:rPr>
      </w:pPr>
      <w:r>
        <w:rPr>
          <w:rStyle w:val="C11"/>
          <w:rtl w:val="0"/>
        </w:rPr>
        <w:t>g) Vystavit doklad o účasti na pohřbu</w:t>
      </w:r>
    </w:p>
    <w:p>
      <w:pPr>
        <w:pStyle w:val="P28"/>
        <w:framePr w:w="3921" w:h="376" w:hRule="exact" w:wrap="none" w:vAnchor="page" w:hAnchor="margin" w:x="6800" w:y="10318"/>
        <w:rPr>
          <w:rStyle w:val="C3"/>
          <w:rtl w:val="0"/>
        </w:rPr>
      </w:pPr>
    </w:p>
    <w:p>
      <w:pPr>
        <w:pStyle w:val="P29"/>
        <w:framePr w:w="3839" w:h="249" w:hRule="exact" w:wrap="none" w:vAnchor="page" w:hAnchor="margin" w:x="6856" w:y="10374"/>
        <w:rPr>
          <w:rStyle w:val="C21"/>
          <w:rtl w:val="0"/>
        </w:rPr>
      </w:pPr>
      <w:r>
        <w:rPr>
          <w:rStyle w:val="C21"/>
          <w:rtl w:val="0"/>
        </w:rPr>
        <w:t>Praktické předvedení</w:t>
      </w:r>
    </w:p>
    <w:p>
      <w:pPr>
        <w:pStyle w:val="P16"/>
        <w:framePr w:w="6710" w:h="376" w:hRule="exact" w:wrap="none" w:vAnchor="page" w:hAnchor="margin" w:x="45" w:y="10694"/>
        <w:rPr>
          <w:rStyle w:val="C3"/>
          <w:rtl w:val="0"/>
        </w:rPr>
      </w:pPr>
    </w:p>
    <w:p>
      <w:pPr>
        <w:pStyle w:val="P17"/>
        <w:framePr w:w="6658" w:h="249" w:hRule="exact" w:wrap="none" w:vAnchor="page" w:hAnchor="margin" w:x="71" w:y="10750"/>
        <w:rPr>
          <w:rStyle w:val="C13"/>
          <w:rtl w:val="0"/>
        </w:rPr>
      </w:pPr>
      <w:r>
        <w:rPr>
          <w:rStyle w:val="C13"/>
          <w:rtl w:val="0"/>
        </w:rPr>
        <w:t>h) Poradit, jak postupovat při úmrtí mimo zdravotnické zařízení</w:t>
      </w:r>
    </w:p>
    <w:p>
      <w:pPr>
        <w:pStyle w:val="P30"/>
        <w:framePr w:w="3921" w:h="376" w:hRule="exact" w:wrap="none" w:vAnchor="page" w:hAnchor="margin" w:x="6800" w:y="10694"/>
        <w:rPr>
          <w:rStyle w:val="C3"/>
          <w:rtl w:val="0"/>
        </w:rPr>
      </w:pPr>
    </w:p>
    <w:p>
      <w:pPr>
        <w:pStyle w:val="P31"/>
        <w:framePr w:w="3839" w:h="249" w:hRule="exact" w:wrap="none" w:vAnchor="page" w:hAnchor="margin" w:x="6856" w:y="10750"/>
        <w:rPr>
          <w:rStyle w:val="C22"/>
          <w:rtl w:val="0"/>
        </w:rPr>
      </w:pPr>
      <w:r>
        <w:rPr>
          <w:rStyle w:val="C22"/>
          <w:rtl w:val="0"/>
        </w:rPr>
        <w:t>Praktické předvedení a ústní ověření</w:t>
      </w:r>
    </w:p>
    <w:p>
      <w:pPr>
        <w:pStyle w:val="P12"/>
        <w:framePr w:w="6710" w:h="607" w:hRule="exact" w:wrap="none" w:vAnchor="page" w:hAnchor="margin" w:x="45" w:y="11070"/>
        <w:rPr>
          <w:rStyle w:val="C3"/>
          <w:rtl w:val="0"/>
        </w:rPr>
      </w:pPr>
    </w:p>
    <w:p>
      <w:pPr>
        <w:pStyle w:val="P13"/>
        <w:framePr w:w="6658" w:h="480" w:hRule="exact" w:wrap="none" w:vAnchor="page" w:hAnchor="margin" w:x="71" w:y="11126"/>
        <w:rPr>
          <w:rStyle w:val="C11"/>
          <w:rtl w:val="0"/>
        </w:rPr>
      </w:pPr>
      <w:r>
        <w:rPr>
          <w:rStyle w:val="C11"/>
          <w:rtl w:val="0"/>
        </w:rPr>
        <w:t>i) Poradit postup při úmrtí v zahraničí (i mimo členské státy EU) a při úmrtí cizince v ČR</w:t>
      </w:r>
    </w:p>
    <w:p>
      <w:pPr>
        <w:pStyle w:val="P28"/>
        <w:framePr w:w="3921" w:h="607" w:hRule="exact" w:wrap="none" w:vAnchor="page" w:hAnchor="margin" w:x="6800" w:y="11070"/>
        <w:rPr>
          <w:rStyle w:val="C3"/>
          <w:rtl w:val="0"/>
        </w:rPr>
      </w:pPr>
    </w:p>
    <w:p>
      <w:pPr>
        <w:pStyle w:val="P29"/>
        <w:framePr w:w="3839" w:h="480" w:hRule="exact" w:wrap="none" w:vAnchor="page" w:hAnchor="margin" w:x="6856" w:y="11126"/>
        <w:rPr>
          <w:rStyle w:val="C21"/>
          <w:rtl w:val="0"/>
        </w:rPr>
      </w:pPr>
      <w:r>
        <w:rPr>
          <w:rStyle w:val="C21"/>
          <w:rtl w:val="0"/>
        </w:rPr>
        <w:t>Praktické předvedení a ústní ověření</w:t>
      </w:r>
    </w:p>
    <w:p>
      <w:pPr>
        <w:pStyle w:val="P16"/>
        <w:framePr w:w="6710" w:h="376" w:hRule="exact" w:wrap="none" w:vAnchor="page" w:hAnchor="margin" w:x="45" w:y="11677"/>
        <w:rPr>
          <w:rStyle w:val="C3"/>
          <w:rtl w:val="0"/>
        </w:rPr>
      </w:pPr>
    </w:p>
    <w:p>
      <w:pPr>
        <w:pStyle w:val="P17"/>
        <w:framePr w:w="6658" w:h="249" w:hRule="exact" w:wrap="none" w:vAnchor="page" w:hAnchor="margin" w:x="71" w:y="11733"/>
        <w:rPr>
          <w:rStyle w:val="C13"/>
          <w:rtl w:val="0"/>
        </w:rPr>
      </w:pPr>
      <w:r>
        <w:rPr>
          <w:rStyle w:val="C13"/>
          <w:rtl w:val="0"/>
        </w:rPr>
        <w:t>j) Nabídnout a vysvětlit více forem financování pohřbu</w:t>
      </w:r>
    </w:p>
    <w:p>
      <w:pPr>
        <w:pStyle w:val="P30"/>
        <w:framePr w:w="3921" w:h="376" w:hRule="exact" w:wrap="none" w:vAnchor="page" w:hAnchor="margin" w:x="6800" w:y="11677"/>
        <w:rPr>
          <w:rStyle w:val="C3"/>
          <w:rtl w:val="0"/>
        </w:rPr>
      </w:pPr>
    </w:p>
    <w:p>
      <w:pPr>
        <w:pStyle w:val="P31"/>
        <w:framePr w:w="3839" w:h="249" w:hRule="exact" w:wrap="none" w:vAnchor="page" w:hAnchor="margin" w:x="6856" w:y="11733"/>
        <w:rPr>
          <w:rStyle w:val="C22"/>
          <w:rtl w:val="0"/>
        </w:rPr>
      </w:pPr>
      <w:r>
        <w:rPr>
          <w:rStyle w:val="C22"/>
          <w:rtl w:val="0"/>
        </w:rPr>
        <w:t>Praktické předvedení a ústní ověření</w:t>
      </w:r>
    </w:p>
    <w:p>
      <w:pPr>
        <w:pStyle w:val="P12"/>
        <w:framePr w:w="6710" w:h="607" w:hRule="exact" w:wrap="none" w:vAnchor="page" w:hAnchor="margin" w:x="45" w:y="12053"/>
        <w:rPr>
          <w:rStyle w:val="C3"/>
          <w:rtl w:val="0"/>
        </w:rPr>
      </w:pPr>
    </w:p>
    <w:p>
      <w:pPr>
        <w:pStyle w:val="P13"/>
        <w:framePr w:w="6658" w:h="480" w:hRule="exact" w:wrap="none" w:vAnchor="page" w:hAnchor="margin" w:x="71" w:y="12109"/>
        <w:rPr>
          <w:rStyle w:val="C11"/>
          <w:rtl w:val="0"/>
        </w:rPr>
      </w:pPr>
      <w:r>
        <w:rPr>
          <w:rStyle w:val="C11"/>
          <w:rtl w:val="0"/>
        </w:rPr>
        <w:t>k) Uvést, kdo odpovídá za přiměřené náklady spojené s pohřbem (i v případě odúmrti)</w:t>
      </w:r>
    </w:p>
    <w:p>
      <w:pPr>
        <w:pStyle w:val="P28"/>
        <w:framePr w:w="3921" w:h="607" w:hRule="exact" w:wrap="none" w:vAnchor="page" w:hAnchor="margin" w:x="6800" w:y="12053"/>
        <w:rPr>
          <w:rStyle w:val="C3"/>
          <w:rtl w:val="0"/>
        </w:rPr>
      </w:pPr>
    </w:p>
    <w:p>
      <w:pPr>
        <w:pStyle w:val="P29"/>
        <w:framePr w:w="3839" w:h="480" w:hRule="exact" w:wrap="none" w:vAnchor="page" w:hAnchor="margin" w:x="6856" w:y="12109"/>
        <w:rPr>
          <w:rStyle w:val="C21"/>
          <w:rtl w:val="0"/>
        </w:rPr>
      </w:pPr>
      <w:r>
        <w:rPr>
          <w:rStyle w:val="C21"/>
          <w:rtl w:val="0"/>
        </w:rPr>
        <w:t>Ústní ověření</w:t>
      </w:r>
    </w:p>
    <w:p>
      <w:pPr>
        <w:pStyle w:val="P16"/>
        <w:framePr w:w="6710" w:h="607" w:hRule="exact" w:wrap="none" w:vAnchor="page" w:hAnchor="margin" w:x="45" w:y="12660"/>
        <w:rPr>
          <w:rStyle w:val="C3"/>
          <w:rtl w:val="0"/>
        </w:rPr>
      </w:pPr>
    </w:p>
    <w:p>
      <w:pPr>
        <w:pStyle w:val="P17"/>
        <w:framePr w:w="6658" w:h="480" w:hRule="exact" w:wrap="none" w:vAnchor="page" w:hAnchor="margin" w:x="71" w:y="12716"/>
        <w:rPr>
          <w:rStyle w:val="C13"/>
          <w:rtl w:val="0"/>
        </w:rPr>
      </w:pPr>
      <w:r>
        <w:rPr>
          <w:rStyle w:val="C13"/>
          <w:rtl w:val="0"/>
        </w:rPr>
        <w:t>l) Popsat způsoby pohřbů a pohřbívání u lidí z jiných kultur (spjatých s územím ČR)</w:t>
      </w:r>
    </w:p>
    <w:p>
      <w:pPr>
        <w:pStyle w:val="P30"/>
        <w:framePr w:w="3921" w:h="607" w:hRule="exact" w:wrap="none" w:vAnchor="page" w:hAnchor="margin" w:x="6800" w:y="12660"/>
        <w:rPr>
          <w:rStyle w:val="C3"/>
          <w:rtl w:val="0"/>
        </w:rPr>
      </w:pPr>
    </w:p>
    <w:p>
      <w:pPr>
        <w:pStyle w:val="P31"/>
        <w:framePr w:w="3839" w:h="480" w:hRule="exact" w:wrap="none" w:vAnchor="page" w:hAnchor="margin" w:x="6856" w:y="12716"/>
        <w:rPr>
          <w:rStyle w:val="C22"/>
          <w:rtl w:val="0"/>
        </w:rPr>
      </w:pPr>
      <w:r>
        <w:rPr>
          <w:rStyle w:val="C22"/>
          <w:rtl w:val="0"/>
        </w:rPr>
        <w:t>Ústní ověření</w:t>
      </w:r>
    </w:p>
    <w:p>
      <w:pPr>
        <w:pStyle w:val="P32"/>
        <w:framePr w:w="10710" w:h="248" w:hRule="exact" w:wrap="none" w:vAnchor="page" w:hAnchor="margin" w:x="28" w:y="133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Sjednavatel pohřbení, 30.9.2026 7:39:10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Příjem platby za služby zabezpečované pohřební službou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základní pokladní a účetní operace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Vyjmenovat údaje a data nutná pro fakturaci pohřebních služeb</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základní postupy v dodavatelsko-odběratelských vztazích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Vystavit doklad o platbě za služby pohřební služby podle zadání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Sjednavatel pohřbení, 30.9.2026 7:39:10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se klade důraz nejen na znalosti a dovednosti uchazeče, ale i na jeho osobnostní předpoklady, především na jeho autentičnost, empatii, aktivní naslouchání, důvěru a vědomost respektovat sníženou schopnost pozůstalých vnímat detaily v nabízených službách.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Sestavování komplexní objednávky smutečního obřadu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a e); </w:t>
      </w:r>
      <w:r>
        <w:rPr>
          <w:rFonts w:ascii="Arial" w:cs="Arial" w:hAnsi="Arial" w:eastAsia="Arial"/>
          <w:b w:val="1"/>
          <w:i w:val="0"/>
          <w:caps w:val="0"/>
          <w:strike w:val="0"/>
          <w:noProof w:val="0"/>
          <w:vanish w:val="0"/>
          <w:color w:val="auto"/>
          <w:sz w:val="20"/>
          <w:u w:val="none"/>
          <w:shd w:val="clear" w:color="auto" w:fill="auto"/>
          <w:vertAlign w:val="baseline"/>
          <w:lang/>
        </w:rPr>
        <w:t>Aplikování základních principů poradenství pro pozůstalé na truchlící klienty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w:t>
      </w:r>
      <w:r>
        <w:rPr>
          <w:rFonts w:ascii="Arial" w:cs="Arial" w:hAnsi="Arial" w:eastAsia="Arial"/>
          <w:b w:val="1"/>
          <w:i w:val="0"/>
          <w:caps w:val="0"/>
          <w:strike w:val="0"/>
          <w:noProof w:val="0"/>
          <w:vanish w:val="0"/>
          <w:color w:val="auto"/>
          <w:sz w:val="20"/>
          <w:u w:val="none"/>
          <w:shd w:val="clear" w:color="auto" w:fill="auto"/>
          <w:vertAlign w:val="baseline"/>
          <w:lang/>
        </w:rPr>
        <w:t>Příjem platby za služby zabezpečované pohřební službou</w:t>
      </w:r>
      <w:r>
        <w:rPr>
          <w:rFonts w:ascii="Arial" w:cs="Arial" w:hAnsi="Arial" w:eastAsia="Arial"/>
          <w:b w:val="0"/>
          <w:i w:val="0"/>
          <w:caps w:val="0"/>
          <w:strike w:val="0"/>
          <w:noProof w:val="0"/>
          <w:vanish w:val="0"/>
          <w:color w:val="auto"/>
          <w:sz w:val="20"/>
          <w:u w:val="none"/>
          <w:shd w:val="clear" w:color="auto" w:fill="auto"/>
          <w:vertAlign w:val="baseline"/>
          <w:lang/>
        </w:rPr>
        <w:t>, kritérium d) autorizovaná osoba připraví jedno zadání, na jehož základě uchazeč splní daná kritéria.</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Aplikování základních principů poradenství pro pozůstalé na truchlící klienty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zajistí autorizovaná osoba figuranta a na modelové situaci předvede uchazeč s figurantem dané kritérium.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Zajištění služeb vyplývajících z uzavřené příkazní smlouvy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autorizovaná osoba připraví požadavky, na jejichž základě uchazeč splní dané kritérium. </w:t>
      </w:r>
    </w:p>
    <w:p>
      <w:pPr>
        <w:pStyle w:val="P33"/>
        <w:framePr w:w="10766" w:h="1837" w:hRule="exact" w:wrap="none" w:vAnchor="page" w:hAnchor="margin" w:x="0" w:y="9685"/>
        <w:rPr>
          <w:rStyle w:val="C3"/>
          <w:rtl w:val="0"/>
        </w:rPr>
      </w:pPr>
    </w:p>
    <w:p>
      <w:pPr>
        <w:pStyle w:val="P35"/>
        <w:framePr w:w="10710" w:h="340" w:hRule="exact" w:wrap="none" w:vAnchor="page" w:hAnchor="margin" w:x="28" w:y="9685"/>
        <w:rPr>
          <w:rStyle w:val="C25"/>
          <w:rtl w:val="0"/>
        </w:rPr>
      </w:pPr>
      <w:r>
        <w:rPr>
          <w:rStyle w:val="C25"/>
          <w:rtl w:val="0"/>
        </w:rPr>
        <w:t>Výsledné hodnocení</w:t>
      </w:r>
    </w:p>
    <w:p>
      <w:pPr>
        <w:keepNext w:val="0"/>
        <w:keepLines w:val="0"/>
        <w:framePr w:w="10766" w:h="1497" w:hRule="exact" w:wrap="none" w:vAnchor="page" w:hAnchor="margin" w:x="0" w:y="10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49"/>
        <w:rPr>
          <w:rStyle w:val="C3"/>
          <w:rtl w:val="0"/>
        </w:rPr>
      </w:pPr>
    </w:p>
    <w:p>
      <w:pPr>
        <w:pStyle w:val="P35"/>
        <w:framePr w:w="10710" w:h="340" w:hRule="exact" w:wrap="none" w:vAnchor="page" w:hAnchor="margin" w:x="28" w:y="11749"/>
        <w:rPr>
          <w:rStyle w:val="C25"/>
          <w:rtl w:val="0"/>
        </w:rPr>
      </w:pPr>
      <w:r>
        <w:rPr>
          <w:rStyle w:val="C25"/>
          <w:rtl w:val="0"/>
        </w:rPr>
        <w:t>Počet zkoušejících</w:t>
      </w:r>
    </w:p>
    <w:p>
      <w:pPr>
        <w:keepNext w:val="0"/>
        <w:keepLines w:val="0"/>
        <w:framePr w:w="10766" w:h="1036" w:hRule="exact" w:wrap="none" w:vAnchor="page" w:hAnchor="margin" w:x="0" w:y="12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Sjednavatel pohřbení, 30.9.2026 7:39:10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a alespoň 5 let odborné praxe v oblasti provozování pohřební služby. </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69-021-M Sjednavatel pohřbení a alespoň 5 let odborné praxe v oblasti provozování pohřební služby.</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pro místní rozvoj, www.mmr.cz.</w:t>
      </w:r>
    </w:p>
    <w:p>
      <w:pPr>
        <w:pStyle w:val="P33"/>
        <w:framePr w:w="10766" w:h="5005" w:hRule="exact" w:wrap="none" w:vAnchor="page" w:hAnchor="margin" w:x="0" w:y="9086"/>
        <w:rPr>
          <w:rStyle w:val="C3"/>
          <w:rtl w:val="0"/>
        </w:rPr>
      </w:pPr>
    </w:p>
    <w:p>
      <w:pPr>
        <w:pStyle w:val="P35"/>
        <w:framePr w:w="10710" w:h="340" w:hRule="exact" w:wrap="none" w:vAnchor="page" w:hAnchor="margin" w:x="28" w:y="9086"/>
        <w:rPr>
          <w:rStyle w:val="C25"/>
          <w:rtl w:val="0"/>
        </w:rPr>
      </w:pPr>
      <w:r>
        <w:rPr>
          <w:rStyle w:val="C25"/>
          <w:rtl w:val="0"/>
        </w:rPr>
        <w:t>Nezbytné materiální a technické předpoklady pro provedení zkoušky</w:t>
      </w:r>
    </w:p>
    <w:p>
      <w:pPr>
        <w:keepNext w:val="0"/>
        <w:keepLines w:val="0"/>
        <w:framePr w:w="10766" w:h="4665"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w:t>
      </w:r>
    </w:p>
    <w:p>
      <w:pPr>
        <w:keepNext w:val="0"/>
        <w:keepLines w:val="1"/>
        <w:framePr w:w="10766" w:h="4665"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zkoušky,</w:t>
      </w:r>
    </w:p>
    <w:p>
      <w:pPr>
        <w:keepNext w:val="0"/>
        <w:keepLines w:val="1"/>
        <w:framePr w:w="10766" w:h="4665"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telefonní přístroj a připojení,</w:t>
      </w:r>
    </w:p>
    <w:p>
      <w:pPr>
        <w:keepNext w:val="0"/>
        <w:keepLines w:val="1"/>
        <w:framePr w:w="10766" w:h="4665"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figuranta,</w:t>
      </w:r>
    </w:p>
    <w:p>
      <w:pPr>
        <w:keepNext w:val="0"/>
        <w:keepLines w:val="1"/>
        <w:framePr w:w="10766" w:h="4665"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tiskárnou a připojením na internet k ověření způsobilosti práce na PC,</w:t>
      </w:r>
    </w:p>
    <w:p>
      <w:pPr>
        <w:keepNext w:val="0"/>
        <w:keepLines w:val="1"/>
        <w:framePr w:w="10766" w:h="4665"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sestavování objednávky pohřbu,</w:t>
      </w:r>
    </w:p>
    <w:p>
      <w:pPr>
        <w:keepNext w:val="0"/>
        <w:keepLines w:val="1"/>
        <w:framePr w:w="10766" w:h="4665"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předlohy pro sestavení smutečního oznámení,</w:t>
      </w:r>
    </w:p>
    <w:p>
      <w:pPr>
        <w:keepNext w:val="0"/>
        <w:keepLines w:val="1"/>
        <w:framePr w:w="10766" w:h="4665"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vzorník rakví a květinových darů, ceníky služeb pohřební služby,</w:t>
      </w:r>
    </w:p>
    <w:p>
      <w:pPr>
        <w:keepNext w:val="0"/>
        <w:keepLines w:val="1"/>
        <w:framePr w:w="10766" w:h="4665"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 o prohlídce zemřelého, pokladní doklady.</w:t>
      </w:r>
    </w:p>
    <w:p>
      <w:pPr>
        <w:keepNext w:val="0"/>
        <w:keepLines w:val="0"/>
        <w:framePr w:w="10766" w:h="4665"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5"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65"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5"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319"/>
        <w:rPr>
          <w:rStyle w:val="C3"/>
          <w:rtl w:val="0"/>
        </w:rPr>
      </w:pPr>
    </w:p>
    <w:p>
      <w:pPr>
        <w:pStyle w:val="P35"/>
        <w:framePr w:w="10710" w:h="340" w:hRule="exact" w:wrap="none" w:vAnchor="page" w:hAnchor="margin" w:x="28" w:y="14319"/>
        <w:rPr>
          <w:rStyle w:val="C25"/>
          <w:rtl w:val="0"/>
        </w:rPr>
      </w:pPr>
      <w:r>
        <w:rPr>
          <w:rStyle w:val="C25"/>
          <w:rtl w:val="0"/>
        </w:rPr>
        <w:t>Doba přípravy na zkoušku</w:t>
      </w:r>
    </w:p>
    <w:p>
      <w:pPr>
        <w:keepNext w:val="0"/>
        <w:keepLines w:val="0"/>
        <w:framePr w:w="10766" w:h="806" w:hRule="exact" w:wrap="none" w:vAnchor="page" w:hAnchor="margin" w:x="0" w:y="146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Sjednavatel pohřbení, 30.9.2026 7:39:10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Sjednavatel pohřbení, 30.9.2026 7:39:10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Pegas CZ s. r. o.,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Tobit, z. s., Jihlava</w:t>
      </w:r>
    </w:p>
    <w:p>
      <w:pPr>
        <w:pStyle w:val="P21"/>
        <w:framePr w:w="7654" w:h="331" w:hRule="exact" w:wrap="none" w:vAnchor="page" w:hAnchor="margin" w:x="28" w:y="15940"/>
        <w:rPr>
          <w:rStyle w:val="C16"/>
          <w:rtl w:val="0"/>
        </w:rPr>
      </w:pPr>
      <w:r>
        <w:rPr>
          <w:rStyle w:val="C16"/>
          <w:rtl w:val="0"/>
        </w:rPr>
        <w:t>Sjednavatel pohřbení, 30.9.2026 7:39:10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87955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F5C20F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