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580630" Type="http://schemas.openxmlformats.org/officeDocument/2006/relationships/officeDocument" Target="/word/document.xml" /><Relationship Id="coreR79580630" Type="http://schemas.openxmlformats.org/package/2006/relationships/metadata/core-properties" Target="/docProps/core.xml" /><Relationship Id="customR795806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pohřební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služeb vyplývajících z uzavřené příkazní smlouvy v oblasti pohřebnictví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Sjednavatel pohřbení, 20.8.2026 9:43:47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vypravitele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vypravitele pohřbu o jeho právech, informovat ho o nabídce komplexní služby nebo dílčích úkonů, včetně vhodného souvisejícího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z čeho vyplývá právo předání osobních údajů vypravitele pohřbu matričnímu úřadu, právo na převzetí lidských pozůstatků ze zdravotnického zařízení nebo urny z krematoria</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Vytvořit návrh příkazní smlouvy pro zajištění pohřbení k uzavření smluvního vztahu mezi vypravitelem pohřbu (příkazcem) a provozovatelem pohřební služby (příkazníkem) dle zadání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Charakterizovat používání zboží (svíce, věnce, rakve, katafalk, patre, rubáš, atd.)určeného k smutečním obřadům a k pohřbení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Vytvořit interní pravidla provozovatele pohřební služby pro shromažďování a zpracování osobních údajů v souladu se zákonem o pohřebnictví a GDPR</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831" w:hRule="exact" w:wrap="none" w:vAnchor="page" w:hAnchor="margin" w:x="45" w:y="8448"/>
        <w:rPr>
          <w:rStyle w:val="C3"/>
          <w:rtl w:val="0"/>
        </w:rPr>
      </w:pPr>
    </w:p>
    <w:p>
      <w:pPr>
        <w:pStyle w:val="P17"/>
        <w:framePr w:w="6658" w:h="704" w:hRule="exact" w:wrap="none" w:vAnchor="page" w:hAnchor="margin" w:x="71" w:y="8504"/>
        <w:rPr>
          <w:rStyle w:val="C13"/>
          <w:rtl w:val="0"/>
        </w:rPr>
      </w:pPr>
      <w:r>
        <w:rPr>
          <w:rStyle w:val="C13"/>
          <w:rtl w:val="0"/>
        </w:rPr>
        <w:t>h) Vyjmenovat základní údaje uvedené v listu o prohlídce zemřelého v částech určených pro vypravitele pohřbu a provozovatele pohřební služby a specifikovat, v čem se liší a proč</w:t>
      </w:r>
    </w:p>
    <w:p>
      <w:pPr>
        <w:pStyle w:val="P30"/>
        <w:framePr w:w="3921" w:h="831" w:hRule="exact" w:wrap="none" w:vAnchor="page" w:hAnchor="margin" w:x="6800" w:y="8448"/>
        <w:rPr>
          <w:rStyle w:val="C3"/>
          <w:rtl w:val="0"/>
        </w:rPr>
      </w:pPr>
    </w:p>
    <w:p>
      <w:pPr>
        <w:pStyle w:val="P31"/>
        <w:framePr w:w="3839" w:h="704"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Zajištění služeb vyplývajících z uzavřené příkazní smlouvy v oblasti pohřebnictví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Vysvětlit způsoby zajištění služeb vyplývajících z uzavřené příkazní smlouvy u třetích osob</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b) Sestavit smuteční oznámení podle požadavků vypravitele pohřbu</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Vytvořit základní pravidla účinné vnitřní kontroly kvality v průběhu poskytování služeb v souladu s § 7 a zákona o pohřebnictví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Ústní ověření</w:t>
      </w:r>
    </w:p>
    <w:p>
      <w:pPr>
        <w:pStyle w:val="P12"/>
        <w:framePr w:w="6710" w:h="831" w:hRule="exact" w:wrap="none" w:vAnchor="page" w:hAnchor="margin" w:x="45" w:y="12840"/>
        <w:rPr>
          <w:rStyle w:val="C3"/>
          <w:rtl w:val="0"/>
        </w:rPr>
      </w:pPr>
    </w:p>
    <w:p>
      <w:pPr>
        <w:pStyle w:val="P13"/>
        <w:framePr w:w="6658" w:h="704" w:hRule="exact" w:wrap="none" w:vAnchor="page" w:hAnchor="margin" w:x="71" w:y="12896"/>
        <w:rPr>
          <w:rStyle w:val="C11"/>
          <w:rtl w:val="0"/>
        </w:rPr>
      </w:pPr>
      <w:r>
        <w:rPr>
          <w:rStyle w:val="C11"/>
          <w:rtl w:val="0"/>
        </w:rPr>
        <w:t>e) Popsat postup přípravy a kontroly zajištění sjednaných služeb v místě konání pohřebního obřadu, postup odsouhlasení s vypravitelem pohřbu a při řešení reklamací</w:t>
      </w:r>
    </w:p>
    <w:p>
      <w:pPr>
        <w:pStyle w:val="P28"/>
        <w:framePr w:w="3921" w:h="831" w:hRule="exact" w:wrap="none" w:vAnchor="page" w:hAnchor="margin" w:x="6800" w:y="12840"/>
        <w:rPr>
          <w:rStyle w:val="C3"/>
          <w:rtl w:val="0"/>
        </w:rPr>
      </w:pPr>
    </w:p>
    <w:p>
      <w:pPr>
        <w:pStyle w:val="P29"/>
        <w:framePr w:w="3839" w:h="704" w:hRule="exact" w:wrap="none" w:vAnchor="page" w:hAnchor="margin" w:x="6856" w:y="12896"/>
        <w:rPr>
          <w:rStyle w:val="C21"/>
          <w:rtl w:val="0"/>
        </w:rPr>
      </w:pPr>
      <w:r>
        <w:rPr>
          <w:rStyle w:val="C21"/>
          <w:rtl w:val="0"/>
        </w:rPr>
        <w:t>Ústní ověření</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f) Popsat zajištění smutečního konduktu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20.8.2026 9:43:47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Předložit argumenty podporující důležitost důstojného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některých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jakými vhodnými způsoby lze u pozůstalých podporovat snahu o důstojné rozloučení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Identifikovat rizika, která mohou představovat některé situace ve smluvním vztahu mezi sjednavatelem pohřbení a vypravitelem pohřbu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Aplikování základních zásad pohřbívání v poradenství pro pozůstalé</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Vysvětlit, v kterých prostorách nelze sjednávat pohřbení a proč</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podmínky pro povolenou reklamu v pohřebnictví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Poradit pozůstalým, jak uzavřít nájemní smlouvu k hrobovému místu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parte, za jakých podmínek ho lze zveřejnit a formy kondolence</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g) Vystavit doklad o účasti na pohřbu</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h) Poradit, jak postupovat při úmrtí mimo zdravotnické zařízení</w:t>
      </w:r>
    </w:p>
    <w:p>
      <w:pPr>
        <w:pStyle w:val="P30"/>
        <w:framePr w:w="3921" w:h="376" w:hRule="exact" w:wrap="none" w:vAnchor="page" w:hAnchor="margin" w:x="6800" w:y="10694"/>
        <w:rPr>
          <w:rStyle w:val="C3"/>
          <w:rtl w:val="0"/>
        </w:rPr>
      </w:pPr>
    </w:p>
    <w:p>
      <w:pPr>
        <w:pStyle w:val="P31"/>
        <w:framePr w:w="3839" w:h="249" w:hRule="exact" w:wrap="none" w:vAnchor="page" w:hAnchor="margin" w:x="6856" w:y="10750"/>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j) Nabídnout a vysvětlit více forem financování pohřbu</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607" w:hRule="exact" w:wrap="none" w:vAnchor="page" w:hAnchor="margin" w:x="45" w:y="12053"/>
        <w:rPr>
          <w:rStyle w:val="C3"/>
          <w:rtl w:val="0"/>
        </w:rPr>
      </w:pPr>
    </w:p>
    <w:p>
      <w:pPr>
        <w:pStyle w:val="P13"/>
        <w:framePr w:w="6658" w:h="480" w:hRule="exact" w:wrap="none" w:vAnchor="page" w:hAnchor="margin" w:x="71" w:y="12109"/>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053"/>
        <w:rPr>
          <w:rStyle w:val="C3"/>
          <w:rtl w:val="0"/>
        </w:rPr>
      </w:pPr>
    </w:p>
    <w:p>
      <w:pPr>
        <w:pStyle w:val="P29"/>
        <w:framePr w:w="3839" w:h="480"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Ústní ověření</w:t>
      </w:r>
    </w:p>
    <w:p>
      <w:pPr>
        <w:pStyle w:val="P32"/>
        <w:framePr w:w="10710" w:h="248" w:hRule="exact" w:wrap="none" w:vAnchor="page" w:hAnchor="margin" w:x="28" w:y="13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20.8.2026 9:43:47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základní postupy v dodavatelsko-odběratelských vztazích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Vystavit doklad o platbě za služby pohřební služby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20.8.2026 9:43:47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klade důraz nejen na znalosti a dovednosti uchazeče, ale i na jeho osobnostní předpoklady, především na jeho autentičnost, empatii, aktivní naslouchání, důvěru a vědomost respektovat sníženou schopnost pozůstalých vnímat detaily v nabízených službách.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komplexní objednávky smutečního obřadu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 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Příjem platby za služby zabezpečované pohřební službou</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na jehož základě uchazeč splní daná kritéria.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zajistí autorizovaná osoba figuranta a na modelové situaci předvede uchazeč s figurantem dané kritérium.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Zajištění služeb vyplývajících z uzavřené příkazní smlouvy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připraví požadavky, na jejichž základě uchazeč splní dané kritérium.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Sjednavatel pohřbení, 20.8.2026 9:43:47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provozování pohřební služby.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69-021-M Sjednavatel pohřbení a alespoň 5 let odborné praxe v oblasti provozování pohřební služby.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5"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 ceníky služeb pohřební služby,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 pokladní doklady.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80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Sjednavatel pohřbení, 20.8.2026 9:43:47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20.8.2026 9:43:47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Sjednavatel pohřbení, 20.8.2026 9:43:47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3557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849F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