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705E9" Type="http://schemas.openxmlformats.org/officeDocument/2006/relationships/officeDocument" Target="/word/document.xml" /><Relationship Id="coreR137705E9" Type="http://schemas.openxmlformats.org/package/2006/relationships/metadata/core-properties" Target="/docProps/core.xml" /><Relationship Id="customR13770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služeb vyplývajících z uzavřené příkazní smlouvy v oblasti pohřebnictví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se klade důraz nejen na znalosti a dovednosti uchazeče, ale i na jeho osobnostní předpoklady, především na jeho autentičnost, empatii, aktivní naslouchání, důvěru a vědomost respektovat sníženou schopnost pozůstalých vnímat detaily v nabízených službách.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komplexní objednávky smutečního obřadu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platby za služby zabezpečované pohřební službou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na jehož základě uchazeč splní daná kritéria.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zajistí autorizovaná osoba figuranta a na modelové situaci předvede uchazeč s figurantem dané kritérium.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služeb vyplývajících z uzavřené příkazní smlouvy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připraví požadavky, na jejichž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