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E44DB" Type="http://schemas.openxmlformats.org/officeDocument/2006/relationships/officeDocument" Target="/word/document.xml" /><Relationship Id="coreR2B6E44DB" Type="http://schemas.openxmlformats.org/package/2006/relationships/metadata/core-properties" Target="/docProps/core.xml" /><Relationship Id="customR2B6E44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Sjednavatel pohřbení (kód: 69-021-M)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Sjednavatel pohřbení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komplexní objednávky smutečního obřadu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Obstarávání věcí vyplývajících z uzavřené smlouvy o obstarání pohřbu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platby za služby zabezpečované pohřební službou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15.08.2012 do: 06.12.2020</w:t>
      </w:r>
    </w:p>
    <w:p>
      <w:pPr>
        <w:pStyle w:val="P21"/>
        <w:framePr w:w="7654" w:h="331" w:hRule="exact" w:wrap="none" w:vAnchor="page" w:hAnchor="margin" w:x="28" w:y="15940"/>
        <w:rPr>
          <w:rStyle w:val="C16"/>
          <w:rtl w:val="0"/>
        </w:rPr>
      </w:pPr>
      <w:r>
        <w:rPr>
          <w:rStyle w:val="C16"/>
          <w:rtl w:val="0"/>
        </w:rPr>
        <w:t>Sjednavatel pohřbení, 30.9.2026 4:46:22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komplexní objednávky smutečního obřadu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kdo zodpovídá za kvalitu poskytované služby a které druhy pohřbívání by mohly vyústit v nelegální nebo neobhajitelné činy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všechny projevy vůle obstaravatele pohřbu vyžádat si služby u provozovatele pohřební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Poučit obstaravatele pohřbu o jeho právech, informovat ho o nabídce dílčích úkonů nebo komplexní služby, nejvhodnějšího zboží a jejich cenách podle zadání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jak postupovat, jde-li o převoz lidských pozůstatků z místa úmrtí – terénu po výzvě lékaře nebo policie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1055" w:hRule="exact" w:wrap="none" w:vAnchor="page" w:hAnchor="margin" w:x="45" w:y="6179"/>
        <w:rPr>
          <w:rStyle w:val="C3"/>
          <w:rtl w:val="0"/>
        </w:rPr>
      </w:pPr>
    </w:p>
    <w:p>
      <w:pPr>
        <w:pStyle w:val="P13"/>
        <w:framePr w:w="6658" w:h="928" w:hRule="exact" w:wrap="none" w:vAnchor="page" w:hAnchor="margin" w:x="71" w:y="6235"/>
        <w:rPr>
          <w:rStyle w:val="C11"/>
          <w:rtl w:val="0"/>
        </w:rPr>
      </w:pPr>
      <w:r>
        <w:rPr>
          <w:rStyle w:val="C11"/>
          <w:rtl w:val="0"/>
        </w:rPr>
        <w:t>e) Uvést, z čeho vyplývá právo předání potřebných osobních údajů obstaravatele pohřbu na obecní úřad, který vede v daném místě matriku úmrtí, právo na převzetí lidských pozůstatků ze zdravotnického zařízení nebo urny z krematoria</w:t>
      </w:r>
    </w:p>
    <w:p>
      <w:pPr>
        <w:pStyle w:val="P28"/>
        <w:framePr w:w="3921" w:h="1055" w:hRule="exact" w:wrap="none" w:vAnchor="page" w:hAnchor="margin" w:x="6800" w:y="6179"/>
        <w:rPr>
          <w:rStyle w:val="C3"/>
          <w:rtl w:val="0"/>
        </w:rPr>
      </w:pPr>
    </w:p>
    <w:p>
      <w:pPr>
        <w:pStyle w:val="P29"/>
        <w:framePr w:w="3839" w:h="928" w:hRule="exact" w:wrap="none" w:vAnchor="page" w:hAnchor="margin" w:x="6856" w:y="6235"/>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Vytvořit návrh smlouvy o obstarání věci (určit strany smlouvy, předmět obstarání, jeho cenu, dobu, kdy má být obstarání uskutečněno a odměnu za obstarání) a vydat o jejím uzavření písemné potvrzení</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Charakterizovat používání zboží určeného k smutečním obřadům a k pohřbení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h) Vytvořit pravidla pro shromažďování a zpracování osobních údajů</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Vyjmenovat základní údaje v listu o prohlídce mrtvého a v úmrtním listě a uvést osoby, které mají právní nárok na jejich držení</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Obstarávání věcí vyplývajících z uzavřené smlouvy o obstarání pohřbu</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Vysvětlit způsoby obstarání věcí a služeb spojených s uzavřenou objednávkou pohřbení u třetích osob</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376" w:hRule="exact" w:wrap="none" w:vAnchor="page" w:hAnchor="margin" w:x="45" w:y="11627"/>
        <w:rPr>
          <w:rStyle w:val="C3"/>
          <w:rtl w:val="0"/>
        </w:rPr>
      </w:pPr>
    </w:p>
    <w:p>
      <w:pPr>
        <w:pStyle w:val="P17"/>
        <w:framePr w:w="6658" w:h="249" w:hRule="exact" w:wrap="none" w:vAnchor="page" w:hAnchor="margin" w:x="71" w:y="11683"/>
        <w:rPr>
          <w:rStyle w:val="C13"/>
          <w:rtl w:val="0"/>
        </w:rPr>
      </w:pPr>
      <w:r>
        <w:rPr>
          <w:rStyle w:val="C13"/>
          <w:rtl w:val="0"/>
        </w:rPr>
        <w:t>b) Sestavit smuteční oznámení podle požadavku objednavatele</w:t>
      </w:r>
    </w:p>
    <w:p>
      <w:pPr>
        <w:pStyle w:val="P30"/>
        <w:framePr w:w="3921" w:h="376" w:hRule="exact" w:wrap="none" w:vAnchor="page" w:hAnchor="margin" w:x="6800" w:y="11627"/>
        <w:rPr>
          <w:rStyle w:val="C3"/>
          <w:rtl w:val="0"/>
        </w:rPr>
      </w:pPr>
    </w:p>
    <w:p>
      <w:pPr>
        <w:pStyle w:val="P31"/>
        <w:framePr w:w="3839" w:h="249" w:hRule="exact" w:wrap="none" w:vAnchor="page" w:hAnchor="margin" w:x="6856" w:y="11683"/>
        <w:rPr>
          <w:rStyle w:val="C22"/>
          <w:rtl w:val="0"/>
        </w:rPr>
      </w:pPr>
      <w:r>
        <w:rPr>
          <w:rStyle w:val="C22"/>
          <w:rtl w:val="0"/>
        </w:rPr>
        <w:t>Praktické předvedení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c) Vytvořit základní pravidla účinné vnitřní kontroly kvality a úplnosti činností a produktů v průběhu poskytování služby a před jejím vyúčtováním</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d) Vyjmenovat doklady nutné k zajištění mezinárodního převozu lidských pozůstatků nebo ostatků</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Popsat postup přípravy a kontroly zajištění objednaných služeb v místě konání pohřebního obřadu, postup odsouhlasení se zákazníkem a při řešení reklamací</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30.9.2026 4:46:22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rozhodující kritéria při výběru provozovatele pohřební služby a předložit argumenty pro důstojné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vhodné úpravy zevnějšku sjednavatele pohřbení, rizika výběru určitého prostředí a jeho vybavení pro průběh sjednávání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Napsat vlastní rukou dopis pozůstalému podle zadání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1055" w:hRule="exact" w:wrap="none" w:vAnchor="page" w:hAnchor="margin" w:x="45" w:y="5391"/>
        <w:rPr>
          <w:rStyle w:val="C3"/>
          <w:rtl w:val="0"/>
        </w:rPr>
      </w:pPr>
    </w:p>
    <w:p>
      <w:pPr>
        <w:pStyle w:val="P13"/>
        <w:framePr w:w="6658" w:h="928" w:hRule="exact" w:wrap="none" w:vAnchor="page" w:hAnchor="margin" w:x="71" w:y="5447"/>
        <w:rPr>
          <w:rStyle w:val="C11"/>
          <w:rtl w:val="0"/>
        </w:rPr>
      </w:pPr>
      <w:r>
        <w:rPr>
          <w:rStyle w:val="C11"/>
          <w:rtl w:val="0"/>
        </w:rPr>
        <w:t>e) Navrhnout, jakými vhodnými způsoby lze u pozůstalých podporovat práci se vzpomínkami a ventilaci emocí. (Uvést otázky, kterými lze usnadňovat vyprávění pozůstalých klientů a objasnit význam ticha v poradenství pro pozůstalé.)</w:t>
      </w:r>
    </w:p>
    <w:p>
      <w:pPr>
        <w:pStyle w:val="P28"/>
        <w:framePr w:w="3921" w:h="1055" w:hRule="exact" w:wrap="none" w:vAnchor="page" w:hAnchor="margin" w:x="6800" w:y="5391"/>
        <w:rPr>
          <w:rStyle w:val="C3"/>
          <w:rtl w:val="0"/>
        </w:rPr>
      </w:pPr>
    </w:p>
    <w:p>
      <w:pPr>
        <w:pStyle w:val="P29"/>
        <w:framePr w:w="3839" w:h="928" w:hRule="exact" w:wrap="none" w:vAnchor="page" w:hAnchor="margin" w:x="6856" w:y="5447"/>
        <w:rPr>
          <w:rStyle w:val="C21"/>
          <w:rtl w:val="0"/>
        </w:rPr>
      </w:pPr>
      <w:r>
        <w:rPr>
          <w:rStyle w:val="C21"/>
          <w:rtl w:val="0"/>
        </w:rPr>
        <w:t>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f) Identifikovat rizika, která mohou představovat některé situace v obstaravatelském vztahu (např. sjednávat pohřeb pro své přátele nebo dělat si přátele ze svých klientů apod.)</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Aplikování základních zásad pohřbívání v poradenství pro pozůstalé</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Vysvětlit, ve kterých prostorách nelze sjednávat pohřbení a proč</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Vyjmenovat podmínky pro povolenou reklamu v pohřebnictví</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c) Popsat, co musí klient přinést s sebou do provozovny pohřební služby, aby mohl sjednat pohřbení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d) Poradit, jak uzavřít nájemní smlouvu k hrobovému místu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Ústní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e) Vysvětlit účel parte, za jakých podmínek jej lze zveřejnit a formy kondolence</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Ústní ověření</w:t>
      </w:r>
    </w:p>
    <w:p>
      <w:pPr>
        <w:pStyle w:val="P16"/>
        <w:framePr w:w="6710" w:h="607" w:hRule="exact" w:wrap="none" w:vAnchor="page" w:hAnchor="margin" w:x="45" w:y="10984"/>
        <w:rPr>
          <w:rStyle w:val="C3"/>
          <w:rtl w:val="0"/>
        </w:rPr>
      </w:pPr>
    </w:p>
    <w:p>
      <w:pPr>
        <w:pStyle w:val="P17"/>
        <w:framePr w:w="6658" w:h="480" w:hRule="exact" w:wrap="none" w:vAnchor="page" w:hAnchor="margin" w:x="71" w:y="11040"/>
        <w:rPr>
          <w:rStyle w:val="C13"/>
          <w:rtl w:val="0"/>
        </w:rPr>
      </w:pPr>
      <w:r>
        <w:rPr>
          <w:rStyle w:val="C13"/>
          <w:rtl w:val="0"/>
        </w:rPr>
        <w:t>f) Vyjmenovat možnosti čerpání pracovního volna s náhradou mzdy nebo platu na pohřební obřad</w:t>
      </w:r>
    </w:p>
    <w:p>
      <w:pPr>
        <w:pStyle w:val="P30"/>
        <w:framePr w:w="3921" w:h="607" w:hRule="exact" w:wrap="none" w:vAnchor="page" w:hAnchor="margin" w:x="6800" w:y="10984"/>
        <w:rPr>
          <w:rStyle w:val="C3"/>
          <w:rtl w:val="0"/>
        </w:rPr>
      </w:pPr>
    </w:p>
    <w:p>
      <w:pPr>
        <w:pStyle w:val="P31"/>
        <w:framePr w:w="3839" w:h="480" w:hRule="exact" w:wrap="none" w:vAnchor="page" w:hAnchor="margin" w:x="6856" w:y="11040"/>
        <w:rPr>
          <w:rStyle w:val="C22"/>
          <w:rtl w:val="0"/>
        </w:rPr>
      </w:pPr>
      <w:r>
        <w:rPr>
          <w:rStyle w:val="C22"/>
          <w:rtl w:val="0"/>
        </w:rPr>
        <w:t>Ústní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g) Vystavit doklad pro smuteční hosty o účasti na pohřbu</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h) Poradit při úmrtí mimo zdravotnické zařízení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i) Uvést případy, kdy nelze upustit od zdravotní pitvy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720"/>
        <w:rPr>
          <w:rStyle w:val="C3"/>
          <w:rtl w:val="0"/>
        </w:rPr>
      </w:pPr>
    </w:p>
    <w:p>
      <w:pPr>
        <w:pStyle w:val="P17"/>
        <w:framePr w:w="6658" w:h="480" w:hRule="exact" w:wrap="none" w:vAnchor="page" w:hAnchor="margin" w:x="71" w:y="12776"/>
        <w:rPr>
          <w:rStyle w:val="C13"/>
          <w:rtl w:val="0"/>
        </w:rPr>
      </w:pPr>
      <w:r>
        <w:rPr>
          <w:rStyle w:val="C13"/>
          <w:rtl w:val="0"/>
        </w:rPr>
        <w:t>j) Poradit postup při úmrtí v zahraničí (i mimo členské státy EU) a při úmrtí cizince nebo člověka bez totožnosti v ČR</w:t>
      </w:r>
    </w:p>
    <w:p>
      <w:pPr>
        <w:pStyle w:val="P30"/>
        <w:framePr w:w="3921" w:h="607" w:hRule="exact" w:wrap="none" w:vAnchor="page" w:hAnchor="margin" w:x="6800" w:y="12720"/>
        <w:rPr>
          <w:rStyle w:val="C3"/>
          <w:rtl w:val="0"/>
        </w:rPr>
      </w:pPr>
    </w:p>
    <w:p>
      <w:pPr>
        <w:pStyle w:val="P31"/>
        <w:framePr w:w="3839" w:h="480" w:hRule="exact" w:wrap="none" w:vAnchor="page" w:hAnchor="margin" w:x="6856" w:y="12776"/>
        <w:rPr>
          <w:rStyle w:val="C22"/>
          <w:rtl w:val="0"/>
        </w:rPr>
      </w:pPr>
      <w:r>
        <w:rPr>
          <w:rStyle w:val="C22"/>
          <w:rtl w:val="0"/>
        </w:rPr>
        <w:t>Ústní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k) Nabídnout více forem financování pohřbu (pohřebné, pojištění, pohřeb na splátky, odúmrť, darování těla pro vědu, výzkum a výuku)</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376" w:hRule="exact" w:wrap="none" w:vAnchor="page" w:hAnchor="margin" w:x="45" w:y="13933"/>
        <w:rPr>
          <w:rStyle w:val="C3"/>
          <w:rtl w:val="0"/>
        </w:rPr>
      </w:pPr>
    </w:p>
    <w:p>
      <w:pPr>
        <w:pStyle w:val="P17"/>
        <w:framePr w:w="6658" w:h="249" w:hRule="exact" w:wrap="none" w:vAnchor="page" w:hAnchor="margin" w:x="71" w:y="13989"/>
        <w:rPr>
          <w:rStyle w:val="C13"/>
          <w:rtl w:val="0"/>
        </w:rPr>
      </w:pPr>
      <w:r>
        <w:rPr>
          <w:rStyle w:val="C13"/>
          <w:rtl w:val="0"/>
        </w:rPr>
        <w:t>l) Vysvětlit, jak řešit situaci, nechce-li nikdo vypravit pohřeb</w:t>
      </w:r>
    </w:p>
    <w:p>
      <w:pPr>
        <w:pStyle w:val="P30"/>
        <w:framePr w:w="3921" w:h="376" w:hRule="exact" w:wrap="none" w:vAnchor="page" w:hAnchor="margin" w:x="6800" w:y="13933"/>
        <w:rPr>
          <w:rStyle w:val="C3"/>
          <w:rtl w:val="0"/>
        </w:rPr>
      </w:pPr>
    </w:p>
    <w:p>
      <w:pPr>
        <w:pStyle w:val="P31"/>
        <w:framePr w:w="3839" w:h="249"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310"/>
        <w:rPr>
          <w:rStyle w:val="C3"/>
          <w:rtl w:val="0"/>
        </w:rPr>
      </w:pPr>
    </w:p>
    <w:p>
      <w:pPr>
        <w:pStyle w:val="P13"/>
        <w:framePr w:w="6658" w:h="480" w:hRule="exact" w:wrap="none" w:vAnchor="page" w:hAnchor="margin" w:x="71" w:y="14366"/>
        <w:rPr>
          <w:rStyle w:val="C11"/>
          <w:rtl w:val="0"/>
        </w:rPr>
      </w:pPr>
      <w:r>
        <w:rPr>
          <w:rStyle w:val="C11"/>
          <w:rtl w:val="0"/>
        </w:rPr>
        <w:t>m) Uvést, kdo odpovídá za přiměřené náklady spojené s pohřbem (i v případě odúmrti)</w:t>
      </w:r>
    </w:p>
    <w:p>
      <w:pPr>
        <w:pStyle w:val="P28"/>
        <w:framePr w:w="3921" w:h="607" w:hRule="exact" w:wrap="none" w:vAnchor="page" w:hAnchor="margin" w:x="6800" w:y="14310"/>
        <w:rPr>
          <w:rStyle w:val="C3"/>
          <w:rtl w:val="0"/>
        </w:rPr>
      </w:pPr>
    </w:p>
    <w:p>
      <w:pPr>
        <w:pStyle w:val="P29"/>
        <w:framePr w:w="3839" w:h="480" w:hRule="exact" w:wrap="none" w:vAnchor="page" w:hAnchor="margin" w:x="6856" w:y="14366"/>
        <w:rPr>
          <w:rStyle w:val="C21"/>
          <w:rtl w:val="0"/>
        </w:rPr>
      </w:pPr>
      <w:r>
        <w:rPr>
          <w:rStyle w:val="C21"/>
          <w:rtl w:val="0"/>
        </w:rPr>
        <w:t>Ústní ověření</w:t>
      </w:r>
    </w:p>
    <w:p>
      <w:pPr>
        <w:pStyle w:val="P16"/>
        <w:framePr w:w="6710" w:h="607" w:hRule="exact" w:wrap="none" w:vAnchor="page" w:hAnchor="margin" w:x="45" w:y="14916"/>
        <w:rPr>
          <w:rStyle w:val="C3"/>
          <w:rtl w:val="0"/>
        </w:rPr>
      </w:pPr>
    </w:p>
    <w:p>
      <w:pPr>
        <w:pStyle w:val="P17"/>
        <w:framePr w:w="6658" w:h="480" w:hRule="exact" w:wrap="none" w:vAnchor="page" w:hAnchor="margin" w:x="71" w:y="14972"/>
        <w:rPr>
          <w:rStyle w:val="C13"/>
          <w:rtl w:val="0"/>
        </w:rPr>
      </w:pPr>
      <w:r>
        <w:rPr>
          <w:rStyle w:val="C13"/>
          <w:rtl w:val="0"/>
        </w:rPr>
        <w:t>n) Popsat způsoby pohřbů a pohřbívání u lidí z jiných kultur (spjatých s územím ČR)</w:t>
      </w:r>
    </w:p>
    <w:p>
      <w:pPr>
        <w:pStyle w:val="P30"/>
        <w:framePr w:w="3921" w:h="607" w:hRule="exact" w:wrap="none" w:vAnchor="page" w:hAnchor="margin" w:x="6800" w:y="14916"/>
        <w:rPr>
          <w:rStyle w:val="C3"/>
          <w:rtl w:val="0"/>
        </w:rPr>
      </w:pPr>
    </w:p>
    <w:p>
      <w:pPr>
        <w:pStyle w:val="P31"/>
        <w:framePr w:w="3839" w:h="480" w:hRule="exact" w:wrap="none" w:vAnchor="page" w:hAnchor="margin" w:x="6856" w:y="14972"/>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30.9.2026 4:46:22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platby za služby zabezpečované pohřební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pokladní a účetní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údaje a data nutná pro fakturaci pohřebních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Vysvětlit základní postupy  účetnictví v odběratelsko- dodavatelských vztazích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30.9.2026 4:46:22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Klade důraz nejen na znalosti a dovednosti uchazeče, ale i na jeho osobnostní předpoklady, především na jeho autentičnost, empatii, aktivní naslouchání, důvěru a vědomost respektovat sníženou schopnost pozůstalých vnímat detaily v nabízených službách. V žádném případě nesmí uchazeč zneužít jejich mimořádné situace ke svému neoprávněnému či nepřiměřenému finančnímu ani jinému prospěchu.</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80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7171" w:hRule="exact" w:wrap="none" w:vAnchor="page" w:hAnchor="margin" w:x="0" w:y="8461"/>
        <w:rPr>
          <w:rStyle w:val="C3"/>
          <w:rtl w:val="0"/>
        </w:rPr>
      </w:pPr>
    </w:p>
    <w:p>
      <w:pPr>
        <w:pStyle w:val="P35"/>
        <w:framePr w:w="10710" w:h="547" w:hRule="exact" w:wrap="none" w:vAnchor="page" w:hAnchor="margin" w:x="28" w:y="8461"/>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humanitního směru a alespoň 5 let odborné praxe v oblasti provozování pohřební služby, z toho minimálně jeden rok v období posledních dvou let před podáním žádosti o udělení autorizace.</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sjednavatel pohřbení a střední vzdělání s maturitní zkouškou a alespoň 5 let odborné praxe v oblasti provozování pohřební služby, z toho minimálně jeden rok v období posledních dvou let před podáním žádosti o udělení autorizace.</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Sjednavatel pohřbení, 30.9.2026 4:46:22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připojení</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sestavování objednávky pohřbu</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sestavení smutečního oznámení</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rakví a květinových darů</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Pokladní doklad</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100"/>
        <w:rPr>
          <w:rStyle w:val="C3"/>
          <w:rtl w:val="0"/>
        </w:rPr>
      </w:pPr>
    </w:p>
    <w:p>
      <w:pPr>
        <w:pStyle w:val="P35"/>
        <w:framePr w:w="10710" w:h="340" w:hRule="exact" w:wrap="none" w:vAnchor="page" w:hAnchor="margin" w:x="28" w:y="6100"/>
        <w:rPr>
          <w:rStyle w:val="C25"/>
          <w:rtl w:val="0"/>
        </w:rPr>
      </w:pPr>
      <w:r>
        <w:rPr>
          <w:rStyle w:val="C25"/>
          <w:rtl w:val="0"/>
        </w:rPr>
        <w:t>Doba přípravy na zkoušku</w:t>
      </w:r>
    </w:p>
    <w:p>
      <w:pPr>
        <w:keepNext w:val="0"/>
        <w:keepLines w:val="0"/>
        <w:framePr w:w="10766" w:h="1036" w:hRule="exact" w:wrap="none" w:vAnchor="page" w:hAnchor="margin" w:x="0" w:y="6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Sjednavatel pohřbení, 30.9.2026 4:46:22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Václav Graf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pohřebnictví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pStyle w:val="P21"/>
        <w:framePr w:w="7654" w:h="331" w:hRule="exact" w:wrap="none" w:vAnchor="page" w:hAnchor="margin" w:x="28" w:y="15940"/>
        <w:rPr>
          <w:rStyle w:val="C16"/>
          <w:rtl w:val="0"/>
        </w:rPr>
      </w:pPr>
      <w:r>
        <w:rPr>
          <w:rStyle w:val="C16"/>
          <w:rtl w:val="0"/>
        </w:rPr>
        <w:t>Sjednavatel pohřbení, 30.9.2026 4:46:22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