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27498" Type="http://schemas.openxmlformats.org/officeDocument/2006/relationships/officeDocument" Target="/word/document.xml" /><Relationship Id="coreR6CA27498" Type="http://schemas.openxmlformats.org/package/2006/relationships/metadata/core-properties" Target="/docProps/core.xml" /><Relationship Id="customR6CA27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Sjednavatel pohřbení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Obstarávání věcí vyplývajících z uzavřené smlouvy o obstarání pohřbu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15.08.2012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Klade důraz nejen na znalosti a dovednosti uchazeče, ale i na jeho osobnostní předpoklady, především na jeho autentičnost, empatii, aktivní naslouchání, důvěru a vědomost respektovat sníženou schopnost pozůstalých vnímat detaily v nabízených službách. V žádném případě nesmí uchazeč zneužít jejich mimořádné situace ke svému neoprávněnému či nepřiměřenému finančnímu ani jinému prospěchu.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Václav Graf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