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AB1A8A" Type="http://schemas.openxmlformats.org/officeDocument/2006/relationships/officeDocument" Target="/word/document.xml" /><Relationship Id="coreR72AB1A8A" Type="http://schemas.openxmlformats.org/package/2006/relationships/metadata/core-properties" Target="/docProps/core.xml" /><Relationship Id="customR72AB1A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Sjednavatel pohřbení (kód: 69-021-M)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Sjednavatel pohřbení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komplexní objednávky smutečního obřadu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Obstarávání věcí vyplývajících z uzavřené smlouvy o obstarání pohřbu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Aplikování základních principů poradenství pro pozůstalé na truchlící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Aplikování základních zásad pohřbívání v poradenství pro pozůstalé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Příjem platby za služby zabezpečované pohřební službou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15.08.2012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Sjednavatel pohřbení, 30.9.2026 5:49:09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Klade důraz nejen na znalosti a dovednosti uchazeče, ale i na jeho osobnostní předpoklady, především na jeho autentičnost, empatii, aktivní naslouchání, důvěru a vědomost respektovat sníženou schopnost pozůstalých vnímat detaily v nabízených službách. V žádném případě nesmí uchazeč zneužít jejich mimořádné situace ke svému neoprávněnému či nepřiměřenému finančnímu ani jinému prospěchu.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Sjednavatel pohřbení, 30.9.2026 5:49:09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Václav Graf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pohřebnictví 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Pohřební ústav hl. m.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sociologie a andragogiky Filozofické fakulty Univerzity Palackého v Olomouci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Sjednavatel pohřbení, 30.9.2026 5:49:09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