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59C88C" Type="http://schemas.openxmlformats.org/officeDocument/2006/relationships/officeDocument" Target="/word/document.xml" /><Relationship Id="coreR2B59C88C" Type="http://schemas.openxmlformats.org/package/2006/relationships/metadata/core-properties" Target="/docProps/core.xml" /><Relationship Id="customR2B59C8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úpravu a přepravu lidských pozůstatků (kód: 69-012-H)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úpravu a přepravu lidských pozůstatků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Provedení převozu lidských pozůstatků a ostatků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Obstarání úkonů při smutečních obřadech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Přechodné ukládání lidských pozůstatků do doby pohřbení.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Omývání, uzavření tělních otvorů, holení, kosmetická úprava, oblékání a další úpravy lidských pozůstatků do rakví při přípravě smutečních obřadů nebo ve spolupráci s pozůstalými</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Aplikování základních zásad pohřbívání v poradenství pro pozůstalé</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Úklid, čištění a dezinfekce prostorů aut, transportních rakví, márnic a chladících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15.08.2012 do: 06.12.2020</w:t>
      </w:r>
    </w:p>
    <w:p>
      <w:pPr>
        <w:pStyle w:val="P21"/>
        <w:framePr w:w="7654" w:h="331" w:hRule="exact" w:wrap="none" w:vAnchor="page" w:hAnchor="margin" w:x="28" w:y="15940"/>
        <w:rPr>
          <w:rStyle w:val="C16"/>
          <w:rtl w:val="0"/>
        </w:rPr>
      </w:pPr>
      <w:r>
        <w:rPr>
          <w:rStyle w:val="C16"/>
          <w:rtl w:val="0"/>
        </w:rPr>
        <w:t>Pracovník pro úpravu a přepravu lidských pozůstatků, 20.10.2026 9:29:16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Provedení převozu lidských pozůstatků a ostatků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pietní a ekologické zacházení s lidskými pozůstatky a lidskými ostatky včetně rozlišení těchto pojmů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Vyjmenovat doklady potřebné k převzetí lidských pozůstatků a lidských ostatků k převozu a řídit se pokyny daných prohlížejícím lékařem nebo pokyny pověřeného orgánu hygienické služby, příp. Státního úřadu pro jadernou bezpečnost</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Uvést, kdo a za jakých podmínek nařizuje a hradí převoz lidských pozůstatků k soudní, vědecké nebo zdravotní pitvě</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Určit podmínky, za kterých smí být proveden převoz v transportním vaku</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Ústní ověření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Předvést přípravu, označení a vybavení transportní a konečné rakve včetně sepsání záznamu příjmu objednávky k převozu z místa úmrtí podle zadání</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Praktické předvedení</w:t>
      </w:r>
    </w:p>
    <w:p>
      <w:pPr>
        <w:pStyle w:val="P16"/>
        <w:framePr w:w="6710" w:h="1055" w:hRule="exact" w:wrap="none" w:vAnchor="page" w:hAnchor="margin" w:x="45" w:y="7004"/>
        <w:rPr>
          <w:rStyle w:val="C3"/>
          <w:rtl w:val="0"/>
        </w:rPr>
      </w:pPr>
    </w:p>
    <w:p>
      <w:pPr>
        <w:pStyle w:val="P17"/>
        <w:framePr w:w="6658" w:h="928" w:hRule="exact" w:wrap="none" w:vAnchor="page" w:hAnchor="margin" w:x="71" w:y="7060"/>
        <w:rPr>
          <w:rStyle w:val="C13"/>
          <w:rtl w:val="0"/>
        </w:rPr>
      </w:pPr>
      <w:r>
        <w:rPr>
          <w:rStyle w:val="C13"/>
          <w:rtl w:val="0"/>
        </w:rPr>
        <w:t>f) Vyhotovit záznam do jízdního výkazu s uvedením času převozu, trasy převozu (počátek a konec), počet ujetých kilometrů, případně jiné údaje (oblékání, čekání a jiné) o skutečnostech, které významně ovlivňují provedení služby</w:t>
      </w:r>
    </w:p>
    <w:p>
      <w:pPr>
        <w:pStyle w:val="P30"/>
        <w:framePr w:w="3921" w:h="1055" w:hRule="exact" w:wrap="none" w:vAnchor="page" w:hAnchor="margin" w:x="6800" w:y="7004"/>
        <w:rPr>
          <w:rStyle w:val="C3"/>
          <w:rtl w:val="0"/>
        </w:rPr>
      </w:pPr>
    </w:p>
    <w:p>
      <w:pPr>
        <w:pStyle w:val="P31"/>
        <w:framePr w:w="3839" w:h="928" w:hRule="exact" w:wrap="none" w:vAnchor="page" w:hAnchor="margin" w:x="6856" w:y="7060"/>
        <w:rPr>
          <w:rStyle w:val="C22"/>
          <w:rtl w:val="0"/>
        </w:rPr>
      </w:pPr>
      <w:r>
        <w:rPr>
          <w:rStyle w:val="C22"/>
          <w:rtl w:val="0"/>
        </w:rPr>
        <w:t>Praktické předvedení</w:t>
      </w:r>
    </w:p>
    <w:p>
      <w:pPr>
        <w:pStyle w:val="P12"/>
        <w:framePr w:w="6710" w:h="831" w:hRule="exact" w:wrap="none" w:vAnchor="page" w:hAnchor="margin" w:x="45" w:y="8059"/>
        <w:rPr>
          <w:rStyle w:val="C3"/>
          <w:rtl w:val="0"/>
        </w:rPr>
      </w:pPr>
    </w:p>
    <w:p>
      <w:pPr>
        <w:pStyle w:val="P13"/>
        <w:framePr w:w="6658" w:h="704" w:hRule="exact" w:wrap="none" w:vAnchor="page" w:hAnchor="margin" w:x="71" w:y="8115"/>
        <w:rPr>
          <w:rStyle w:val="C11"/>
          <w:rtl w:val="0"/>
        </w:rPr>
      </w:pPr>
      <w:r>
        <w:rPr>
          <w:rStyle w:val="C11"/>
          <w:rtl w:val="0"/>
        </w:rPr>
        <w:t>g) Předvést přípravu lidských pozůstatků k uložení do transportní rakve včetně jejich označení jménem tak, aby byla možnost kdykoliv ověřit totožnost (např. zajistit páskou z PVC na kotník nebo zápěstí)</w:t>
      </w:r>
    </w:p>
    <w:p>
      <w:pPr>
        <w:pStyle w:val="P28"/>
        <w:framePr w:w="3921" w:h="831" w:hRule="exact" w:wrap="none" w:vAnchor="page" w:hAnchor="margin" w:x="6800" w:y="8059"/>
        <w:rPr>
          <w:rStyle w:val="C3"/>
          <w:rtl w:val="0"/>
        </w:rPr>
      </w:pPr>
    </w:p>
    <w:p>
      <w:pPr>
        <w:pStyle w:val="P29"/>
        <w:framePr w:w="3839" w:h="704" w:hRule="exact" w:wrap="none" w:vAnchor="page" w:hAnchor="margin" w:x="6856" w:y="8115"/>
        <w:rPr>
          <w:rStyle w:val="C21"/>
          <w:rtl w:val="0"/>
        </w:rPr>
      </w:pPr>
      <w:r>
        <w:rPr>
          <w:rStyle w:val="C21"/>
          <w:rtl w:val="0"/>
        </w:rPr>
        <w:t>Praktické předvedení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h) Předvést manipulaci s lidskými pozůstatky při ukládání na nosítka, do transportního vaku a do transportní rakve (řidič a závozník)</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Praktické předvedení</w:t>
      </w:r>
    </w:p>
    <w:p>
      <w:pPr>
        <w:pStyle w:val="P12"/>
        <w:framePr w:w="6710" w:h="607" w:hRule="exact" w:wrap="none" w:vAnchor="page" w:hAnchor="margin" w:x="45" w:y="9497"/>
        <w:rPr>
          <w:rStyle w:val="C3"/>
          <w:rtl w:val="0"/>
        </w:rPr>
      </w:pPr>
    </w:p>
    <w:p>
      <w:pPr>
        <w:pStyle w:val="P13"/>
        <w:framePr w:w="6658" w:h="480" w:hRule="exact" w:wrap="none" w:vAnchor="page" w:hAnchor="margin" w:x="71" w:y="9553"/>
        <w:rPr>
          <w:rStyle w:val="C11"/>
          <w:rtl w:val="0"/>
        </w:rPr>
      </w:pPr>
      <w:r>
        <w:rPr>
          <w:rStyle w:val="C11"/>
          <w:rtl w:val="0"/>
        </w:rPr>
        <w:t>i) Předvést ukládání rakve s lidskými pozůstatky a vaku s lidskými pozůstatky do pohřebního vozu (řidič a závozník)</w:t>
      </w:r>
    </w:p>
    <w:p>
      <w:pPr>
        <w:pStyle w:val="P28"/>
        <w:framePr w:w="3921" w:h="607" w:hRule="exact" w:wrap="none" w:vAnchor="page" w:hAnchor="margin" w:x="6800" w:y="9497"/>
        <w:rPr>
          <w:rStyle w:val="C3"/>
          <w:rtl w:val="0"/>
        </w:rPr>
      </w:pPr>
    </w:p>
    <w:p>
      <w:pPr>
        <w:pStyle w:val="P29"/>
        <w:framePr w:w="3839" w:h="480" w:hRule="exact" w:wrap="none" w:vAnchor="page" w:hAnchor="margin" w:x="6856" w:y="9553"/>
        <w:rPr>
          <w:rStyle w:val="C21"/>
          <w:rtl w:val="0"/>
        </w:rPr>
      </w:pPr>
      <w:r>
        <w:rPr>
          <w:rStyle w:val="C21"/>
          <w:rtl w:val="0"/>
        </w:rPr>
        <w:t>Praktické předvedení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j) Popsat zákonem stanovené vybavení pohřebního vozu nebo pohřební přestavby vozu</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k) Uvést zásady a lhůty pro převoz lidských pozůstatků po pracovní době (v pohotovostním režimu)</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Ústní ověření</w:t>
      </w:r>
    </w:p>
    <w:p>
      <w:pPr>
        <w:pStyle w:val="P16"/>
        <w:framePr w:w="6710" w:h="1055" w:hRule="exact" w:wrap="none" w:vAnchor="page" w:hAnchor="margin" w:x="45" w:y="11317"/>
        <w:rPr>
          <w:rStyle w:val="C3"/>
          <w:rtl w:val="0"/>
        </w:rPr>
      </w:pPr>
    </w:p>
    <w:p>
      <w:pPr>
        <w:pStyle w:val="P17"/>
        <w:framePr w:w="6658" w:h="928" w:hRule="exact" w:wrap="none" w:vAnchor="page" w:hAnchor="margin" w:x="71" w:y="11373"/>
        <w:rPr>
          <w:rStyle w:val="C13"/>
          <w:rtl w:val="0"/>
        </w:rPr>
      </w:pPr>
      <w:r>
        <w:rPr>
          <w:rStyle w:val="C13"/>
          <w:rtl w:val="0"/>
        </w:rPr>
        <w:t>l) Vysvětlit hlavní kritické body (hygienické, bezpečnostní i pietní) při manipulaci s lidskými pozůstatky nalezenými mimo zdravotnické zařízení, v obydlích, na veřejných prostranstvích, při dopravní nehodě nebo ve volné přírodě</w:t>
      </w:r>
    </w:p>
    <w:p>
      <w:pPr>
        <w:pStyle w:val="P30"/>
        <w:framePr w:w="3921" w:h="1055" w:hRule="exact" w:wrap="none" w:vAnchor="page" w:hAnchor="margin" w:x="6800" w:y="11317"/>
        <w:rPr>
          <w:rStyle w:val="C3"/>
          <w:rtl w:val="0"/>
        </w:rPr>
      </w:pPr>
    </w:p>
    <w:p>
      <w:pPr>
        <w:pStyle w:val="P31"/>
        <w:framePr w:w="3839" w:h="928" w:hRule="exact" w:wrap="none" w:vAnchor="page" w:hAnchor="margin" w:x="6856" w:y="11373"/>
        <w:rPr>
          <w:rStyle w:val="C22"/>
          <w:rtl w:val="0"/>
        </w:rPr>
      </w:pPr>
      <w:r>
        <w:rPr>
          <w:rStyle w:val="C22"/>
          <w:rtl w:val="0"/>
        </w:rPr>
        <w:t>Ústní ověření</w:t>
      </w:r>
    </w:p>
    <w:p>
      <w:pPr>
        <w:pStyle w:val="P12"/>
        <w:framePr w:w="6710" w:h="831" w:hRule="exact" w:wrap="none" w:vAnchor="page" w:hAnchor="margin" w:x="45" w:y="12373"/>
        <w:rPr>
          <w:rStyle w:val="C3"/>
          <w:rtl w:val="0"/>
        </w:rPr>
      </w:pPr>
    </w:p>
    <w:p>
      <w:pPr>
        <w:pStyle w:val="P13"/>
        <w:framePr w:w="6658" w:h="704" w:hRule="exact" w:wrap="none" w:vAnchor="page" w:hAnchor="margin" w:x="71" w:y="12429"/>
        <w:rPr>
          <w:rStyle w:val="C11"/>
          <w:rtl w:val="0"/>
        </w:rPr>
      </w:pPr>
      <w:r>
        <w:rPr>
          <w:rStyle w:val="C11"/>
          <w:rtl w:val="0"/>
        </w:rPr>
        <w:t>m) Popsat postup přípravy převozu lidských pozůstatků za hranice ČR a vybavení transportní rakve podle Berlínské a Štrasburské mezinárodní smlouvy</w:t>
      </w:r>
    </w:p>
    <w:p>
      <w:pPr>
        <w:pStyle w:val="P28"/>
        <w:framePr w:w="3921" w:h="831" w:hRule="exact" w:wrap="none" w:vAnchor="page" w:hAnchor="margin" w:x="6800" w:y="12373"/>
        <w:rPr>
          <w:rStyle w:val="C3"/>
          <w:rtl w:val="0"/>
        </w:rPr>
      </w:pPr>
    </w:p>
    <w:p>
      <w:pPr>
        <w:pStyle w:val="P29"/>
        <w:framePr w:w="3839" w:h="704" w:hRule="exact" w:wrap="none" w:vAnchor="page" w:hAnchor="margin" w:x="6856" w:y="12429"/>
        <w:rPr>
          <w:rStyle w:val="C21"/>
          <w:rtl w:val="0"/>
        </w:rPr>
      </w:pPr>
      <w:r>
        <w:rPr>
          <w:rStyle w:val="C21"/>
          <w:rtl w:val="0"/>
        </w:rPr>
        <w:t>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n) Vyjmenovat doklady nutné k zajištění mezinárodního převozu lidských pozůstatků nebo ostatků</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Ústní ověření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úpravu a přepravu lidských pozůstatků, 20.10.2026 9:29:16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Obstarání úkonů při smutečních obřadech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vhodný společenský oděv a obuv, zvážit použití pokrývky hlavy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nezbytné úkony a činnosti při přípravě a v průběhu smutečního rozloučení v kostele nebo v obřadní síni, při pohřbu do země nebo hrobky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podmínky pro vystavení těla zemřelého v otevřené rakvi a popsat činnosti při přípravě a v průběhu takové výstavy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Určit, jak umístit v obřadní síni rakev na katafalk, kam rozmístit donesené květinové dary (věnce, kytice se stuhami, podle kterých je možné určit dárce) a kam ukládat dary nejbližších pozůstalých</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Stanovit, kdy zpravidla končí smuteční obřad v občanské obřadní síni, v kostele nebo na veřejném pohřebišti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998"/>
        <w:rPr>
          <w:rStyle w:val="C3"/>
          <w:rtl w:val="0"/>
        </w:rPr>
      </w:pPr>
    </w:p>
    <w:p>
      <w:pPr>
        <w:pStyle w:val="P17"/>
        <w:framePr w:w="6658" w:h="704" w:hRule="exact" w:wrap="none" w:vAnchor="page" w:hAnchor="margin" w:x="71" w:y="6054"/>
        <w:rPr>
          <w:rStyle w:val="C13"/>
          <w:rtl w:val="0"/>
        </w:rPr>
      </w:pPr>
      <w:r>
        <w:rPr>
          <w:rStyle w:val="C13"/>
          <w:rtl w:val="0"/>
        </w:rPr>
        <w:t>f) Po ukončení obřadu včetně spuštění rakve provést zpětný zásyp hrobu, demontáž použitého bednění, uložení květinových darů na rov hrobu a následný úklid, případně umytí vlastního nebo i sousedních hrobů</w:t>
      </w:r>
    </w:p>
    <w:p>
      <w:pPr>
        <w:pStyle w:val="P30"/>
        <w:framePr w:w="3921" w:h="831" w:hRule="exact" w:wrap="none" w:vAnchor="page" w:hAnchor="margin" w:x="6800" w:y="5998"/>
        <w:rPr>
          <w:rStyle w:val="C3"/>
          <w:rtl w:val="0"/>
        </w:rPr>
      </w:pPr>
    </w:p>
    <w:p>
      <w:pPr>
        <w:pStyle w:val="P31"/>
        <w:framePr w:w="3839" w:h="704"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postup při pohřbení zpopelněním (převzetí urny se zpopelněnými ostatky z krematoria a předání objednavateli)</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Předvést smísení zpopelněných lidských ostatků se zemí do anonymního společného hrobu včetně zápisu s podpisem odpovědné a provádějící osoby</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w:t>
      </w:r>
    </w:p>
    <w:p>
      <w:pPr>
        <w:pStyle w:val="P32"/>
        <w:framePr w:w="10710" w:h="248" w:hRule="exact" w:wrap="none" w:vAnchor="page" w:hAnchor="margin" w:x="28" w:y="8156"/>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Přechodné ukládání lidských pozůstatků do doby pohřbení.</w:t>
      </w:r>
    </w:p>
    <w:p>
      <w:pPr>
        <w:pStyle w:val="P24"/>
        <w:framePr w:w="6713" w:h="376" w:hRule="exact" w:wrap="none" w:vAnchor="page" w:hAnchor="margin" w:x="45" w:y="9031"/>
        <w:rPr>
          <w:rStyle w:val="C3"/>
          <w:rtl w:val="0"/>
        </w:rPr>
      </w:pPr>
    </w:p>
    <w:p>
      <w:pPr>
        <w:pStyle w:val="P25"/>
        <w:framePr w:w="6661" w:h="249" w:hRule="exact" w:wrap="none" w:vAnchor="page" w:hAnchor="margin" w:x="71" w:y="9102"/>
        <w:rPr>
          <w:rStyle w:val="C19"/>
          <w:rtl w:val="0"/>
        </w:rPr>
      </w:pPr>
      <w:r>
        <w:rPr>
          <w:rStyle w:val="C19"/>
          <w:rtl w:val="0"/>
        </w:rPr>
        <w:t>Kritéria hodnocení</w:t>
      </w:r>
    </w:p>
    <w:p>
      <w:pPr>
        <w:pStyle w:val="P26"/>
        <w:framePr w:w="3918" w:h="376" w:hRule="exact" w:wrap="none" w:vAnchor="page" w:hAnchor="margin" w:x="6803" w:y="9031"/>
        <w:rPr>
          <w:rStyle w:val="C3"/>
          <w:rtl w:val="0"/>
        </w:rPr>
      </w:pPr>
    </w:p>
    <w:p>
      <w:pPr>
        <w:pStyle w:val="P27"/>
        <w:framePr w:w="3836" w:h="249" w:hRule="exact" w:wrap="none" w:vAnchor="page" w:hAnchor="margin" w:x="6859" w:y="9102"/>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Vyjmenovat zákonem stanovené podmínky pro prostory pro přechodné ukládání lidských pozůstatků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b) Popsat obvyklá vybavení prostor pro ukládání lidských pozůstatků</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c) Vyjmenovat údaje vedené v evidenci o lidských pozůstatcích přijatých k přechodnému uložení</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úpravu a přepravu lidských pozůstatků, 20.10.2026 9:29:16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Omývání, uzavření tělních otvorů, holení, kosmetická úprava, oblékání a další úpravy lidských pozůstatků do rakví při přípravě smutečních obřadů nebo ve spolupráci s pozůstalými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úpravy lidských pozůstatků před jejich uložením do konečné rakve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Vyjmenovat možnosti ošetření lidských pozůstatků zpomalujících posmrtné změny a rozlišit pojmy konzervace a balzamace lidských pozůstatků</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Omýt, uzavřít tělní otvory, oholit, učesat a kosmeticky upravit lidské pozůstatky určené pro výstav v otevřené rakvi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Předvést postup svlékání a oblékání upravených lidských pozůstatků do rubáše nebo do šatů podle zadání</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Určit podmínky, za kterých je možné, vyžádá-li si zákazník službu, uložení zesnulého do konečné rakve již v místě úmrtí (zpravidla v bytě, účast pozůstalých při oblékání a ukládání lidských pozůstatků do rakve)</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340" w:hRule="exact" w:wrap="none" w:vAnchor="page" w:hAnchor="margin" w:x="28" w:y="7209"/>
        <w:rPr>
          <w:rStyle w:val="C18"/>
          <w:rtl w:val="0"/>
        </w:rPr>
      </w:pPr>
      <w:r>
        <w:rPr>
          <w:rStyle w:val="C18"/>
          <w:rtl w:val="0"/>
        </w:rPr>
        <w:t>Aplikování základních zásad pohřbívání v poradenství pro pozůstalé</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a) Vysvětlit význam pohřebního rituálu a předložit argumenty pro důstojné rozloučení se zemřelým</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Ústní ověření</w:t>
      </w:r>
    </w:p>
    <w:p>
      <w:pPr>
        <w:pStyle w:val="P16"/>
        <w:framePr w:w="6710" w:h="1055" w:hRule="exact" w:wrap="none" w:vAnchor="page" w:hAnchor="margin" w:x="45" w:y="8631"/>
        <w:rPr>
          <w:rStyle w:val="C3"/>
          <w:rtl w:val="0"/>
        </w:rPr>
      </w:pPr>
    </w:p>
    <w:p>
      <w:pPr>
        <w:pStyle w:val="P17"/>
        <w:framePr w:w="6658" w:h="928" w:hRule="exact" w:wrap="none" w:vAnchor="page" w:hAnchor="margin" w:x="71" w:y="8687"/>
        <w:rPr>
          <w:rStyle w:val="C13"/>
          <w:rtl w:val="0"/>
        </w:rPr>
      </w:pPr>
      <w:r>
        <w:rPr>
          <w:rStyle w:val="C13"/>
          <w:rtl w:val="0"/>
        </w:rPr>
        <w:t>b) Vysvětlit, co je možné udělat v případě očekávaného úmrtí doma (jak splnit oznamovací povinnost o úmrtí, jak pomoci pozůstalému v posledním kontaktu s tělem zemřelého, kdy je nutné kontaktovat pohřební službu, jak zmírnit chorobný strach z těla zemřelého a z jeho pohřbení zaživa)</w:t>
      </w:r>
    </w:p>
    <w:p>
      <w:pPr>
        <w:pStyle w:val="P30"/>
        <w:framePr w:w="3921" w:h="1055" w:hRule="exact" w:wrap="none" w:vAnchor="page" w:hAnchor="margin" w:x="6800" w:y="8631"/>
        <w:rPr>
          <w:rStyle w:val="C3"/>
          <w:rtl w:val="0"/>
        </w:rPr>
      </w:pPr>
    </w:p>
    <w:p>
      <w:pPr>
        <w:pStyle w:val="P31"/>
        <w:framePr w:w="3839" w:h="928" w:hRule="exact" w:wrap="none" w:vAnchor="page" w:hAnchor="margin" w:x="6856" w:y="8687"/>
        <w:rPr>
          <w:rStyle w:val="C22"/>
          <w:rtl w:val="0"/>
        </w:rPr>
      </w:pPr>
      <w:r>
        <w:rPr>
          <w:rStyle w:val="C22"/>
          <w:rtl w:val="0"/>
        </w:rPr>
        <w:t>Ústní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c) Objasnit postup při objednávání pohřbu a hrobového místa (především po vyzvednutí urny), popsat průběh pohřebních obřadů nad rakví (občanských i náboženských, způsob kondolence)</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Ústní ověření</w:t>
      </w:r>
    </w:p>
    <w:p>
      <w:pPr>
        <w:pStyle w:val="P16"/>
        <w:framePr w:w="6710" w:h="831" w:hRule="exact" w:wrap="none" w:vAnchor="page" w:hAnchor="margin" w:x="45" w:y="10517"/>
        <w:rPr>
          <w:rStyle w:val="C3"/>
          <w:rtl w:val="0"/>
        </w:rPr>
      </w:pPr>
    </w:p>
    <w:p>
      <w:pPr>
        <w:pStyle w:val="P17"/>
        <w:framePr w:w="6658" w:h="704" w:hRule="exact" w:wrap="none" w:vAnchor="page" w:hAnchor="margin" w:x="71" w:y="10573"/>
        <w:rPr>
          <w:rStyle w:val="C13"/>
          <w:rtl w:val="0"/>
        </w:rPr>
      </w:pPr>
      <w:r>
        <w:rPr>
          <w:rStyle w:val="C13"/>
          <w:rtl w:val="0"/>
        </w:rPr>
        <w:t>d) Předložit argumenty podporující skutečnost, že „pohřeb bez obřadu“ může způsobit závažné právní i psychické problémy blízkým i vzdáleným pozůstalým</w:t>
      </w:r>
    </w:p>
    <w:p>
      <w:pPr>
        <w:pStyle w:val="P30"/>
        <w:framePr w:w="3921" w:h="831" w:hRule="exact" w:wrap="none" w:vAnchor="page" w:hAnchor="margin" w:x="6800" w:y="10517"/>
        <w:rPr>
          <w:rStyle w:val="C3"/>
          <w:rtl w:val="0"/>
        </w:rPr>
      </w:pPr>
    </w:p>
    <w:p>
      <w:pPr>
        <w:pStyle w:val="P31"/>
        <w:framePr w:w="3839" w:h="704" w:hRule="exact" w:wrap="none" w:vAnchor="page" w:hAnchor="margin" w:x="6856" w:y="10573"/>
        <w:rPr>
          <w:rStyle w:val="C22"/>
          <w:rtl w:val="0"/>
        </w:rPr>
      </w:pPr>
      <w:r>
        <w:rPr>
          <w:rStyle w:val="C22"/>
          <w:rtl w:val="0"/>
        </w:rPr>
        <w:t>Ústní ověření</w:t>
      </w:r>
    </w:p>
    <w:p>
      <w:pPr>
        <w:pStyle w:val="P32"/>
        <w:framePr w:w="10710" w:h="248" w:hRule="exact" w:wrap="none" w:vAnchor="page" w:hAnchor="margin" w:x="28" w:y="11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úpravu a přepravu lidských pozůstatků, 20.10.2026 9:29:16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Úklid, čištění a dezinfekce prostorů aut, transportních rakví, márnic a chladících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přípravky použitelné pro dezinfekci pohřebního vozu, transportních rakví, márnic a chladicích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desinfekci vybraného objektu, použít osobní ochranné prostředky a zajistit ochranu životního prostředí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Zacházet s nástrojem a pomůckou podle zásad bezpečnosti a hygieny práce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Vysvětlit na příkladech kritické hygienické body a místa kritická pro zranění nebo zavlečení nákazy do organismu. Uvést, kdy a za jakých podmínek lze chladicí zařízení čistit</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ověření</w:t>
      </w:r>
    </w:p>
    <w:p>
      <w:pPr>
        <w:pStyle w:val="P12"/>
        <w:framePr w:w="6710" w:h="1504" w:hRule="exact" w:wrap="none" w:vAnchor="page" w:hAnchor="margin" w:x="45" w:y="5621"/>
        <w:rPr>
          <w:rStyle w:val="C3"/>
          <w:rtl w:val="0"/>
        </w:rPr>
      </w:pPr>
    </w:p>
    <w:p>
      <w:pPr>
        <w:pStyle w:val="P13"/>
        <w:framePr w:w="6658" w:h="1377" w:hRule="exact" w:wrap="none" w:vAnchor="page" w:hAnchor="margin" w:x="71" w:y="5677"/>
        <w:rPr>
          <w:rStyle w:val="C11"/>
          <w:rtl w:val="0"/>
        </w:rPr>
      </w:pPr>
      <w:r>
        <w:rPr>
          <w:rStyle w:val="C11"/>
          <w:rtl w:val="0"/>
        </w:rPr>
        <w:t>e) Vysvětlit způsob dezinfekce pracovního oděvu a pomůcek, popř. způsob jejich detoxikace nebo likvidace (bylo-li při převozu podezření, že šlo o lidské pozůstatky osoby, která v době úmrtí byla nakažena infekčními onemocněními, vyvolanými vysoce rizikovými biologickými agens a jejich toxiny). Vysvětlit důvody pro oddělení šatny špinavé a čisté, separátní pračky na montérky, separátního sociálního zařízení, sprchy</w:t>
      </w:r>
    </w:p>
    <w:p>
      <w:pPr>
        <w:pStyle w:val="P28"/>
        <w:framePr w:w="3921" w:h="1504" w:hRule="exact" w:wrap="none" w:vAnchor="page" w:hAnchor="margin" w:x="6800" w:y="5621"/>
        <w:rPr>
          <w:rStyle w:val="C3"/>
          <w:rtl w:val="0"/>
        </w:rPr>
      </w:pPr>
    </w:p>
    <w:p>
      <w:pPr>
        <w:pStyle w:val="P29"/>
        <w:framePr w:w="3839" w:h="1377" w:hRule="exact" w:wrap="none" w:vAnchor="page" w:hAnchor="margin" w:x="6856" w:y="5677"/>
        <w:rPr>
          <w:rStyle w:val="C21"/>
          <w:rtl w:val="0"/>
        </w:rPr>
      </w:pPr>
      <w:r>
        <w:rPr>
          <w:rStyle w:val="C21"/>
          <w:rtl w:val="0"/>
        </w:rPr>
        <w:t>Ústní ověření</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Určit místo, oddělené od běžného odpadu, kam ukládat zbytky rakví, polštářů, oděvů, kytic, stuh apod. Uvést, které vlastnosti činí tento odpad z pohřebnictví nebezpečným (infekčnost) a jak může provozovatel nakládat s infekčními odpady pohřební služby podle zákona o odpadech</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Ústní ověření</w:t>
      </w:r>
    </w:p>
    <w:p>
      <w:pPr>
        <w:pStyle w:val="P12"/>
        <w:framePr w:w="6710" w:h="831" w:hRule="exact" w:wrap="none" w:vAnchor="page" w:hAnchor="margin" w:x="45" w:y="8180"/>
        <w:rPr>
          <w:rStyle w:val="C3"/>
          <w:rtl w:val="0"/>
        </w:rPr>
      </w:pPr>
    </w:p>
    <w:p>
      <w:pPr>
        <w:pStyle w:val="P13"/>
        <w:framePr w:w="6658" w:h="704" w:hRule="exact" w:wrap="none" w:vAnchor="page" w:hAnchor="margin" w:x="71" w:y="8236"/>
        <w:rPr>
          <w:rStyle w:val="C11"/>
          <w:rtl w:val="0"/>
        </w:rPr>
      </w:pPr>
      <w:r>
        <w:rPr>
          <w:rStyle w:val="C11"/>
          <w:rtl w:val="0"/>
        </w:rPr>
        <w:t>g) Upozornit, že lidské pozůstatky a ostatky, včetně pevných implantátů, nejsou odpadem nebo věcí v občanskoprávním smyslu, kterou lze vlastnit, dědit nebo s ní obchodovat</w:t>
      </w:r>
    </w:p>
    <w:p>
      <w:pPr>
        <w:pStyle w:val="P28"/>
        <w:framePr w:w="3921" w:h="831" w:hRule="exact" w:wrap="none" w:vAnchor="page" w:hAnchor="margin" w:x="6800" w:y="8180"/>
        <w:rPr>
          <w:rStyle w:val="C3"/>
          <w:rtl w:val="0"/>
        </w:rPr>
      </w:pPr>
    </w:p>
    <w:p>
      <w:pPr>
        <w:pStyle w:val="P29"/>
        <w:framePr w:w="3839" w:h="704" w:hRule="exact" w:wrap="none" w:vAnchor="page" w:hAnchor="margin" w:x="6856" w:y="8236"/>
        <w:rPr>
          <w:rStyle w:val="C21"/>
          <w:rtl w:val="0"/>
        </w:rPr>
      </w:pPr>
      <w:r>
        <w:rPr>
          <w:rStyle w:val="C21"/>
          <w:rtl w:val="0"/>
        </w:rPr>
        <w:t>Ústní ověření</w:t>
      </w:r>
    </w:p>
    <w:p>
      <w:pPr>
        <w:pStyle w:val="P16"/>
        <w:framePr w:w="6710" w:h="607" w:hRule="exact" w:wrap="none" w:vAnchor="page" w:hAnchor="margin" w:x="45" w:y="9011"/>
        <w:rPr>
          <w:rStyle w:val="C3"/>
          <w:rtl w:val="0"/>
        </w:rPr>
      </w:pPr>
    </w:p>
    <w:p>
      <w:pPr>
        <w:pStyle w:val="P17"/>
        <w:framePr w:w="6658" w:h="480" w:hRule="exact" w:wrap="none" w:vAnchor="page" w:hAnchor="margin" w:x="71" w:y="9067"/>
        <w:rPr>
          <w:rStyle w:val="C13"/>
          <w:rtl w:val="0"/>
        </w:rPr>
      </w:pPr>
      <w:r>
        <w:rPr>
          <w:rStyle w:val="C13"/>
          <w:rtl w:val="0"/>
        </w:rPr>
        <w:t>h) Obaly a zbytky čisticích a úklidových prostředků likvidovat podle předpisů na ochranu životního prostředí</w:t>
      </w:r>
    </w:p>
    <w:p>
      <w:pPr>
        <w:pStyle w:val="P30"/>
        <w:framePr w:w="3921" w:h="607" w:hRule="exact" w:wrap="none" w:vAnchor="page" w:hAnchor="margin" w:x="6800" w:y="9011"/>
        <w:rPr>
          <w:rStyle w:val="C3"/>
          <w:rtl w:val="0"/>
        </w:rPr>
      </w:pPr>
    </w:p>
    <w:p>
      <w:pPr>
        <w:pStyle w:val="P31"/>
        <w:framePr w:w="3839" w:h="480" w:hRule="exact" w:wrap="none" w:vAnchor="page" w:hAnchor="margin" w:x="6856" w:y="9067"/>
        <w:rPr>
          <w:rStyle w:val="C22"/>
          <w:rtl w:val="0"/>
        </w:rPr>
      </w:pPr>
      <w:r>
        <w:rPr>
          <w:rStyle w:val="C22"/>
          <w:rtl w:val="0"/>
        </w:rPr>
        <w:t>Ústní ověření</w:t>
      </w:r>
    </w:p>
    <w:p>
      <w:pPr>
        <w:pStyle w:val="P32"/>
        <w:framePr w:w="10710" w:h="248" w:hRule="exact" w:wrap="none" w:vAnchor="page" w:hAnchor="margin" w:x="28" w:y="9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úpravu a přepravu lidských pozůstatků, 20.10.2026 9:29:16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Klade důraz nejen na hygienické, ale i etické aspekty manipulace s lidskými pozůstatky.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nejen dodržování hygienických předpisů, předpisů bezpečnosti práce, dodržování časového harmonogramu, ale i to, zda uchazeč po celou dobu práce dodržoval zásady piety, důstojnosti a slušnosti při práci s lidskými pozůstatky (potlačil profesionální otrlost). Praktické předvedení manipulace s lidskými pozůstatky musí být provedeno vždy ve dvojici, buďto s figurantem nebo s dalším uchazečem o profesní kvalifikaci. Na rakev a víko rakve je zakázáno odkládat jakékoliv pomůcky a pracovní předměty. Při práci nejíst a nekouřit.</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 úpravu a přepravu lidských pozůstatků, 20.10.2026 9:29:16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technického směru a alespoň 5 let odborné praxe v oblasti provozování pohřební služby, z toho minimálně jeden rok v období posledních dvou let před podáním žádosti o udělení autorizace.</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Profesní kvalifikace pracovník pro úpravu a přepravu lidských pozůstatků a střední vzdělání s maturitní zkouškou a alespoň 5 let odborné praxe v oblasti provozování pohřební služby, z toho minimálně jeden rok v období posledních dvou let před podáním žádosti o udělení autorizace.</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5317" w:hRule="exact" w:wrap="none" w:vAnchor="page" w:hAnchor="margin" w:x="0" w:y="9552"/>
        <w:rPr>
          <w:rStyle w:val="C3"/>
          <w:rtl w:val="0"/>
        </w:rPr>
      </w:pPr>
    </w:p>
    <w:p>
      <w:pPr>
        <w:pStyle w:val="P35"/>
        <w:framePr w:w="10710" w:h="340" w:hRule="exact" w:wrap="none" w:vAnchor="page" w:hAnchor="margin" w:x="28" w:y="9552"/>
        <w:rPr>
          <w:rStyle w:val="C25"/>
          <w:rtl w:val="0"/>
        </w:rPr>
      </w:pPr>
      <w:r>
        <w:rPr>
          <w:rStyle w:val="C25"/>
          <w:rtl w:val="0"/>
        </w:rPr>
        <w:t>Nezbytné materiální a technické předpoklady pro provedení zkoušky</w:t>
      </w:r>
    </w:p>
    <w:p>
      <w:pPr>
        <w:keepNext w:val="0"/>
        <w:keepLines w:val="0"/>
        <w:framePr w:w="10766" w:h="497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formou smlouvy místo k provedení praktické části zkoušky (vždy se manipuluje s reálnými dosud neupravenými lidskými pozůstatky v provozovně pohřební služby). Toto místo musí odpovídat požadavkům BOZP a PO. Autorizovaná osoba musí během zkoušky zaručit dodržování zásad hygieny a pietní ochrany osobnosti zemřelého a osobně zajistit, aby s mrtvým lidským tělem bylo nakládáno uctivě a důstojně. Pořizování audiovizuálních záznamů z průběhu zkoušky je zakázáno.</w:t>
      </w:r>
    </w:p>
    <w:p>
      <w:pPr>
        <w:keepNext w:val="0"/>
        <w:keepLines w:val="0"/>
        <w:framePr w:w="10766" w:h="497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nebude uchazeč oblečen do vhodného pracovního oděvu a obuvi a nebude mít ochranné pomůcky a vhodné nástroje, zkouška se nesmí zahájit. Práci nesmí dále vykonávat uchazeč, který má otevřené poranění, zejména na rukou. Pokud dojde k poranění během manipulace s lidskými pozůstatky, musí se nechat neprodleně ošetřit a zkouška se přeruší.</w:t>
      </w:r>
    </w:p>
    <w:p>
      <w:pPr>
        <w:keepNext w:val="0"/>
        <w:keepLines w:val="0"/>
        <w:framePr w:w="10766" w:h="497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 blízkosti práce možnost očisty alespoň studenou vodou a desinfekčními ubrousky a v místě stálého pracoviště i teplou vodu včetně desinfekčních prostředků.</w:t>
      </w:r>
    </w:p>
    <w:p>
      <w:pPr>
        <w:keepNext w:val="0"/>
        <w:keepLines w:val="0"/>
        <w:framePr w:w="10766" w:h="497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příslušné pracovní nářadí a pomůcky, kosmetické nástroje a přípravky, rakev, transportní vak a sadu dezinfekčních prostředků. Není-li denní osvětlení dostatečné, musí mít venkovní pracoviště po dobu, kdy se na něm zkouší, zajištěno umělé osvětlení odpovídající intenzity.</w:t>
      </w:r>
    </w:p>
    <w:p>
      <w:pPr>
        <w:keepNext w:val="0"/>
        <w:keepLines w:val="0"/>
        <w:framePr w:w="10766" w:h="497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77"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Pracovník pro úpravu a přepravu lidských pozůstatků, 20.10.2026 9:29:16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úpravu a přepravu lidských pozůstatků, 20.10.2026 9:29:16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ostatní služby,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Václav Graf</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pohřebnictví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Katedra sociologie a andragogiky Filozofické fakulty Univerzity Palackého v Olomouci</w:t>
      </w:r>
    </w:p>
    <w:p>
      <w:pPr>
        <w:pStyle w:val="P21"/>
        <w:framePr w:w="7654" w:h="331" w:hRule="exact" w:wrap="none" w:vAnchor="page" w:hAnchor="margin" w:x="28" w:y="15940"/>
        <w:rPr>
          <w:rStyle w:val="C16"/>
          <w:rtl w:val="0"/>
        </w:rPr>
      </w:pPr>
      <w:r>
        <w:rPr>
          <w:rStyle w:val="C16"/>
          <w:rtl w:val="0"/>
        </w:rPr>
        <w:t>Pracovník pro úpravu a přepravu lidských pozůstatků, 20.10.2026 9:29:16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