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AAD4C" Type="http://schemas.openxmlformats.org/officeDocument/2006/relationships/officeDocument" Target="/word/document.xml" /><Relationship Id="coreR58AAAD4C" Type="http://schemas.openxmlformats.org/package/2006/relationships/metadata/core-properties" Target="/docProps/core.xml" /><Relationship Id="customR58AAA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vlastnosti PHL, rizika spojená se skladováním a manipulací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doklady spojenými s dodávkou PHL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fungování obsluhy výdejních stojanů a jejich údržbu při dodržení bezpečnostních předpisů, uvést rizika spojená s výdejem PHL</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Vyjmenovat kontrolní orgány a charakterizovat náplně jejich kontrol a způsoby jejich prokazování se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všeobecné povinnosti dodržování zásad HACCP na čerpací stanici</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 a ústní ověření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obě kritéria.</w:t>
      </w:r>
    </w:p>
    <w:p>
      <w:pPr>
        <w:pStyle w:val="P23"/>
        <w:framePr w:w="10710" w:h="547" w:hRule="exact" w:wrap="none" w:vAnchor="page" w:hAnchor="margin" w:x="28" w:y="11832"/>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2478"/>
        <w:rPr>
          <w:rStyle w:val="C3"/>
          <w:rtl w:val="0"/>
        </w:rPr>
      </w:pPr>
    </w:p>
    <w:p>
      <w:pPr>
        <w:pStyle w:val="P25"/>
        <w:framePr w:w="6661" w:h="249" w:hRule="exact" w:wrap="none" w:vAnchor="page" w:hAnchor="margin" w:x="71" w:y="12549"/>
        <w:rPr>
          <w:rStyle w:val="C19"/>
          <w:rtl w:val="0"/>
        </w:rPr>
      </w:pPr>
      <w:r>
        <w:rPr>
          <w:rStyle w:val="C19"/>
          <w:rtl w:val="0"/>
        </w:rPr>
        <w:t>Kritéria hodnocení</w:t>
      </w:r>
    </w:p>
    <w:p>
      <w:pPr>
        <w:pStyle w:val="P26"/>
        <w:framePr w:w="3918" w:h="376" w:hRule="exact" w:wrap="none" w:vAnchor="page" w:hAnchor="margin" w:x="6803" w:y="12478"/>
        <w:rPr>
          <w:rStyle w:val="C3"/>
          <w:rtl w:val="0"/>
        </w:rPr>
      </w:pPr>
    </w:p>
    <w:p>
      <w:pPr>
        <w:pStyle w:val="P27"/>
        <w:framePr w:w="3836" w:h="249" w:hRule="exact" w:wrap="none" w:vAnchor="page" w:hAnchor="margin" w:x="6859" w:y="12549"/>
        <w:rPr>
          <w:rStyle w:val="C20"/>
          <w:rtl w:val="0"/>
        </w:rPr>
      </w:pPr>
      <w:r>
        <w:rPr>
          <w:rStyle w:val="C20"/>
          <w:rtl w:val="0"/>
        </w:rPr>
        <w:t>Způsoby ověření</w:t>
      </w:r>
    </w:p>
    <w:p>
      <w:pPr>
        <w:pStyle w:val="P12"/>
        <w:framePr w:w="6710" w:h="607" w:hRule="exact" w:wrap="none" w:vAnchor="page" w:hAnchor="margin" w:x="45" w:y="12855"/>
        <w:rPr>
          <w:rStyle w:val="C3"/>
          <w:rtl w:val="0"/>
        </w:rPr>
      </w:pPr>
    </w:p>
    <w:p>
      <w:pPr>
        <w:pStyle w:val="P13"/>
        <w:framePr w:w="6658" w:h="480" w:hRule="exact" w:wrap="none" w:vAnchor="page" w:hAnchor="margin" w:x="71" w:y="12911"/>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2855"/>
        <w:rPr>
          <w:rStyle w:val="C3"/>
          <w:rtl w:val="0"/>
        </w:rPr>
      </w:pPr>
    </w:p>
    <w:p>
      <w:pPr>
        <w:pStyle w:val="P29"/>
        <w:framePr w:w="3839" w:h="480" w:hRule="exact" w:wrap="none" w:vAnchor="page" w:hAnchor="margin" w:x="6856" w:y="12911"/>
        <w:rPr>
          <w:rStyle w:val="C21"/>
          <w:rtl w:val="0"/>
        </w:rPr>
      </w:pPr>
      <w:r>
        <w:rPr>
          <w:rStyle w:val="C21"/>
          <w:rtl w:val="0"/>
        </w:rPr>
        <w:t>Ústní ověření</w:t>
      </w:r>
    </w:p>
    <w:p>
      <w:pPr>
        <w:pStyle w:val="P16"/>
        <w:framePr w:w="6710" w:h="607" w:hRule="exact" w:wrap="none" w:vAnchor="page" w:hAnchor="margin" w:x="45" w:y="13461"/>
        <w:rPr>
          <w:rStyle w:val="C3"/>
          <w:rtl w:val="0"/>
        </w:rPr>
      </w:pPr>
    </w:p>
    <w:p>
      <w:pPr>
        <w:pStyle w:val="P17"/>
        <w:framePr w:w="6658" w:h="480" w:hRule="exact" w:wrap="none" w:vAnchor="page" w:hAnchor="margin" w:x="71" w:y="1351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3461"/>
        <w:rPr>
          <w:rStyle w:val="C3"/>
          <w:rtl w:val="0"/>
        </w:rPr>
      </w:pPr>
    </w:p>
    <w:p>
      <w:pPr>
        <w:pStyle w:val="P31"/>
        <w:framePr w:w="3839" w:h="480" w:hRule="exact" w:wrap="none" w:vAnchor="page" w:hAnchor="margin" w:x="6856" w:y="13517"/>
        <w:rPr>
          <w:rStyle w:val="C22"/>
          <w:rtl w:val="0"/>
        </w:rPr>
      </w:pPr>
      <w:r>
        <w:rPr>
          <w:rStyle w:val="C22"/>
          <w:rtl w:val="0"/>
        </w:rPr>
        <w:t>Ústní ověření</w:t>
      </w:r>
    </w:p>
    <w:p>
      <w:pPr>
        <w:pStyle w:val="P12"/>
        <w:framePr w:w="6710" w:h="376" w:hRule="exact" w:wrap="none" w:vAnchor="page" w:hAnchor="margin" w:x="45" w:y="14068"/>
        <w:rPr>
          <w:rStyle w:val="C3"/>
          <w:rtl w:val="0"/>
        </w:rPr>
      </w:pPr>
    </w:p>
    <w:p>
      <w:pPr>
        <w:pStyle w:val="P13"/>
        <w:framePr w:w="6658" w:h="249" w:hRule="exact" w:wrap="none" w:vAnchor="page" w:hAnchor="margin" w:x="71" w:y="14124"/>
        <w:rPr>
          <w:rStyle w:val="C11"/>
          <w:rtl w:val="0"/>
        </w:rPr>
      </w:pPr>
      <w:r>
        <w:rPr>
          <w:rStyle w:val="C11"/>
          <w:rtl w:val="0"/>
        </w:rPr>
        <w:t>c) Popsat funkci výdejních stojanů a předvést jejich obsluhu a údržbu</w:t>
      </w:r>
    </w:p>
    <w:p>
      <w:pPr>
        <w:pStyle w:val="P28"/>
        <w:framePr w:w="3921" w:h="376" w:hRule="exact" w:wrap="none" w:vAnchor="page" w:hAnchor="margin" w:x="6800" w:y="14068"/>
        <w:rPr>
          <w:rStyle w:val="C3"/>
          <w:rtl w:val="0"/>
        </w:rPr>
      </w:pPr>
    </w:p>
    <w:p>
      <w:pPr>
        <w:pStyle w:val="P29"/>
        <w:framePr w:w="3839" w:h="249" w:hRule="exact" w:wrap="none" w:vAnchor="page" w:hAnchor="margin" w:x="6856" w:y="14124"/>
        <w:rPr>
          <w:rStyle w:val="C21"/>
          <w:rtl w:val="0"/>
        </w:rPr>
      </w:pPr>
      <w:r>
        <w:rPr>
          <w:rStyle w:val="C21"/>
          <w:rtl w:val="0"/>
        </w:rPr>
        <w:t>Praktické předvedení a ústní ověření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(včetně eet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ceny na pokladně a náležitosti cenovky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Manipulace se zbožím na čerpací stanici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evidence a inventarizace skladu PHL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postupy při příjmu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a postupy při skladování zboží, označování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nabídku a prodej zboží v prodejně čerpací staníce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uchačem podepsán písemný záznam. Zdravotní způsobilost pro vykonávání pracovních činností této profesní kvalifikace je vyžadována a prokazuje se lékařským potrvrzením (odkaz na povolání v NSP - https://www.nsp.cz/jednotka-prace/obsluha-cerpaci-stanice-s#zdravotni-zpusobilost).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místností ke zkoušení.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spojeny s obsluhou čerpací stanice, které si autorizovaná osoba předem připraví a rozpracuje podle HS.</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hodnoticího standardu této profesní kvalifikace; uchazeč je bude plnit, bude komentovat své postupy a odpovídat na případné dotazy zkoušejícího.</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se zbožím, je obzvláště zapotřebí u potravinářského sortimentu dbát na dodržování hygienických předpisů (kritické body HACCP).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 peněžními prostředky a platebními kartami, je nutno dodržovat bezpečnostní pravidla pro práci na pokladně včetně služeb eet.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nebo AZ pokládá doplňující otázky na EET, zelenou naftu pro zemědělce, spotřební daň, DPH, jaké jsou údaje na daňovém - nedaňovém dokladu, co je FIK atd.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prodeje PHL v maloobchodě.</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69-022-H Obsluha čerpací stanice s PHL a alespoň 5 let odborné praxe v oblasti prodeje PHL v maloobchodě.</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místností ke zkoušení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 eet služby)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 IMPRINTER</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prázdný formulář daňového a zjednodušeného daňového dokladu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vyplněný nákladní list z rafinerie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stáčecí lístek z cisterny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tyč + listrovací tabulky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 kroužek</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PB láhev</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příprava na zkoušku v trvání 20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 o., Turnov</w:t>
      </w:r>
    </w:p>
    <w:p>
      <w:pPr>
        <w:pStyle w:val="P21"/>
        <w:framePr w:w="7654" w:h="331" w:hRule="exact" w:wrap="none" w:vAnchor="page" w:hAnchor="margin" w:x="28" w:y="15940"/>
        <w:rPr>
          <w:rStyle w:val="C16"/>
          <w:rtl w:val="0"/>
        </w:rPr>
      </w:pPr>
      <w:r>
        <w:rPr>
          <w:rStyle w:val="C16"/>
          <w:rtl w:val="0"/>
        </w:rPr>
        <w:t>Obsluha čerpací stanice s PHL, 28.7.2026 9:16:01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9B7E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0BB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