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EF4F2E" Type="http://schemas.openxmlformats.org/officeDocument/2006/relationships/officeDocument" Target="/word/document.xml" /><Relationship Id="coreR59EF4F2E" Type="http://schemas.openxmlformats.org/package/2006/relationships/metadata/core-properties" Target="/docProps/core.xml" /><Relationship Id="customR59EF4F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požadavků na surovinu v závislosti na druhu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Dělení a vykosťování masa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jednotlivých druhů vykostěného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Bourač/bouračka masa, 18.10.2026 18:11:30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7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bouráním masa jatečných prasat a jatečného skotu s využitím technologických postupů a hygienických zásad zacházení s jatečně upravenými těly jatečných zvířat a čerstvým masem.</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 Skladování masa " postačí, když uchazeč uskladní 10 kg masa.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 a jatečného skotu.</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Bourač/bouračka masa, 18.10.2026 18:11:30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Bourač/bouračka masa, 18.10.2026 18:11:30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