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AA53A9" Type="http://schemas.openxmlformats.org/officeDocument/2006/relationships/officeDocument" Target="/word/document.xml" /><Relationship Id="coreR78AA53A9" Type="http://schemas.openxmlformats.org/package/2006/relationships/metadata/core-properties" Target="/docProps/core.xml" /><Relationship Id="customR78AA53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pro pěstební činnost (kód: 41-055-M)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přípravy půdy pro přirozené zmlazení a zalesňování, posouzení kvality a zdravotního stavu sadebního materiálu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Organizace zalesňovacích prací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Organizace hnojení a ochrany lesních kultur a lesních porostů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Organizace pěstebních činností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Vyznačování výchovných zásahů v lesních porostech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plnění lesních hospodářských plánů a předaných projektů v rámci obhospodařovaného území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evidence lesního hospodářství v rámci lesního revíru/lesního úseku v oblasti pěstební činnosti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Kontrola dodržování BOZP, PO a pracovních postupů v pěstební činnosti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27.08.2012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pěstební činnost, 30.9.2026 7:57:14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použít jako součást způsobu písemného ověření kritéria test.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kvalifikací.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metodické pokyny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dřeviny: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 tvrdé: dub, buk, habr, javor, jasan, jilm, akát, bříza, jeřáb, ořešák, třešeň, jabloň, hrušeň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 měkké: lípa, olše, topol, vrba, jírovec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na průběhu vegetačního období.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pěstební činnost, 30.9.2026 7:57:14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s.p.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 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pěstební činnost, 30.9.2026 7:57:14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