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BCA83" Type="http://schemas.openxmlformats.org/officeDocument/2006/relationships/officeDocument" Target="/word/document.xml" /><Relationship Id="coreRBFBCA83" Type="http://schemas.openxmlformats.org/package/2006/relationships/metadata/core-properties" Target="/docProps/core.xml" /><Relationship Id="customRBFBC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potřebný soubor zadání pro ověřování jednotlivých kompetencí uvedených v hodnoticím standardu dle počtu uchazečů o zkoušku.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a řízení technologických zařízení chemické výroby, kriterium c); Posuzování hodnot a parametrů při obsluze a řízení technologických procesů ve výrobě chemických produktů, samostatné provádění výstupní kontroly a vyhodnocování závad, kriterium e); Volba technologických podmínek a parametrů pro obsluhu a řízení technologických procesů ve výrobě chemických produktů, kriterium a) a b) zajistí autorizovaná osoba ověření praktickým předvedením buď v reálném chemickém provozu, nebo na modelové situaci.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komptencí Dodržování zásad bezpečnosti a ochrany zdraví při práci, hygieny práce, požární prevence a ochrany živorního prostředí v chemické výrobě, kriterium b), a c); Volba technologických podmínek a parametrů pro obsluhu a řízení technologických procesů ve výrobě chemických produktů, kriterium a) určí daný úsek chemické výroby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