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300A9" Type="http://schemas.openxmlformats.org/officeDocument/2006/relationships/officeDocument" Target="/word/document.xml" /><Relationship Id="coreR393300A9" Type="http://schemas.openxmlformats.org/package/2006/relationships/metadata/core-properties" Target="/docProps/core.xml" /><Relationship Id="customR39330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a písemné ověření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b) Provést potřebné úkony při obsluze zadaného stroje nebo zařízení</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637"/>
        <w:rPr>
          <w:rStyle w:val="C3"/>
          <w:rtl w:val="0"/>
        </w:rPr>
      </w:pPr>
    </w:p>
    <w:p>
      <w:pPr>
        <w:pStyle w:val="P13"/>
        <w:framePr w:w="6658" w:h="928" w:hRule="exact" w:wrap="none" w:vAnchor="page" w:hAnchor="margin" w:x="71" w:y="969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637"/>
        <w:rPr>
          <w:rStyle w:val="C3"/>
          <w:rtl w:val="0"/>
        </w:rPr>
      </w:pPr>
    </w:p>
    <w:p>
      <w:pPr>
        <w:pStyle w:val="P29"/>
        <w:framePr w:w="3839" w:h="928" w:hRule="exact" w:wrap="none" w:vAnchor="page" w:hAnchor="margin" w:x="6856" w:y="9693"/>
        <w:rPr>
          <w:rStyle w:val="C21"/>
          <w:rtl w:val="0"/>
        </w:rPr>
      </w:pPr>
      <w:r>
        <w:rPr>
          <w:rStyle w:val="C21"/>
          <w:rtl w:val="0"/>
        </w:rPr>
        <w:t>Praktické předvedení</w:t>
      </w:r>
    </w:p>
    <w:p>
      <w:pPr>
        <w:pStyle w:val="P16"/>
        <w:framePr w:w="6710" w:h="607" w:hRule="exact" w:wrap="none" w:vAnchor="page" w:hAnchor="margin" w:x="45" w:y="10692"/>
        <w:rPr>
          <w:rStyle w:val="C3"/>
          <w:rtl w:val="0"/>
        </w:rPr>
      </w:pPr>
    </w:p>
    <w:p>
      <w:pPr>
        <w:pStyle w:val="P17"/>
        <w:framePr w:w="6658" w:h="480" w:hRule="exact" w:wrap="none" w:vAnchor="page" w:hAnchor="margin" w:x="71" w:y="10748"/>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692"/>
        <w:rPr>
          <w:rStyle w:val="C3"/>
          <w:rtl w:val="0"/>
        </w:rPr>
      </w:pPr>
    </w:p>
    <w:p>
      <w:pPr>
        <w:pStyle w:val="P31"/>
        <w:framePr w:w="3839" w:h="480" w:hRule="exact" w:wrap="none" w:vAnchor="page" w:hAnchor="margin" w:x="6856" w:y="10748"/>
        <w:rPr>
          <w:rStyle w:val="C22"/>
          <w:rtl w:val="0"/>
        </w:rPr>
      </w:pPr>
      <w:r>
        <w:rPr>
          <w:rStyle w:val="C22"/>
          <w:rtl w:val="0"/>
        </w:rPr>
        <w:t>Praktické předvedení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používané v dané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samostatně kvalitativní a kvantitativní analýzu vzorku v provozním měřítku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a 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sledované parametry a technologické podmínky a navrhnout opatření na základě získaných výsledků podle stanovených postupů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Identifikovat nekvalitní produkt jako důsledek chybného technologického procesu (z odchylky od předepsaného technologického režimu – fluktuace hodnot)</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korekci podmínek technologického režimu pro dosažení žádané kvality produktu podle pracovních instrukcí</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Ústní a písemné ověření</w:t>
      </w:r>
    </w:p>
    <w:p>
      <w:pPr>
        <w:pStyle w:val="P16"/>
        <w:framePr w:w="6710" w:h="607" w:hRule="exact" w:wrap="none" w:vAnchor="page" w:hAnchor="margin" w:x="45" w:y="8614"/>
        <w:rPr>
          <w:rStyle w:val="C3"/>
          <w:rtl w:val="0"/>
        </w:rPr>
      </w:pPr>
    </w:p>
    <w:p>
      <w:pPr>
        <w:pStyle w:val="P17"/>
        <w:framePr w:w="6658" w:h="480" w:hRule="exact" w:wrap="none" w:vAnchor="page" w:hAnchor="margin" w:x="71" w:y="8670"/>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614"/>
        <w:rPr>
          <w:rStyle w:val="C3"/>
          <w:rtl w:val="0"/>
        </w:rPr>
      </w:pPr>
    </w:p>
    <w:p>
      <w:pPr>
        <w:pStyle w:val="P31"/>
        <w:framePr w:w="3839" w:h="480" w:hRule="exact" w:wrap="none" w:vAnchor="page" w:hAnchor="margin" w:x="6856" w:y="8670"/>
        <w:rPr>
          <w:rStyle w:val="C22"/>
          <w:rtl w:val="0"/>
        </w:rPr>
      </w:pPr>
      <w:r>
        <w:rPr>
          <w:rStyle w:val="C22"/>
          <w:rtl w:val="0"/>
        </w:rPr>
        <w:t>Ústní a písemné ověření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Provést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32"/>
        <w:framePr w:w="10710" w:h="248" w:hRule="exact" w:wrap="none" w:vAnchor="page" w:hAnchor="margin" w:x="28" w:y="10165"/>
        <w:rPr>
          <w:rStyle w:val="C23"/>
          <w:rtl w:val="0"/>
        </w:rPr>
      </w:pPr>
      <w:r>
        <w:rPr>
          <w:rStyle w:val="C23"/>
          <w:rtl w:val="0"/>
        </w:rPr>
        <w:t>Je třeba splnit všechna kritéria.</w:t>
      </w:r>
    </w:p>
    <w:p>
      <w:pPr>
        <w:pStyle w:val="P23"/>
        <w:framePr w:w="10710" w:h="547" w:hRule="exact" w:wrap="none" w:vAnchor="page" w:hAnchor="margin" w:x="28" w:y="1060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248"/>
        <w:rPr>
          <w:rStyle w:val="C3"/>
          <w:rtl w:val="0"/>
        </w:rPr>
      </w:pPr>
    </w:p>
    <w:p>
      <w:pPr>
        <w:pStyle w:val="P25"/>
        <w:framePr w:w="6661" w:h="249" w:hRule="exact" w:wrap="none" w:vAnchor="page" w:hAnchor="margin" w:x="71" w:y="11319"/>
        <w:rPr>
          <w:rStyle w:val="C19"/>
          <w:rtl w:val="0"/>
        </w:rPr>
      </w:pPr>
      <w:r>
        <w:rPr>
          <w:rStyle w:val="C19"/>
          <w:rtl w:val="0"/>
        </w:rPr>
        <w:t>Kritéria hodnocení</w:t>
      </w:r>
    </w:p>
    <w:p>
      <w:pPr>
        <w:pStyle w:val="P26"/>
        <w:framePr w:w="3918" w:h="376" w:hRule="exact" w:wrap="none" w:vAnchor="page" w:hAnchor="margin" w:x="6803" w:y="11248"/>
        <w:rPr>
          <w:rStyle w:val="C3"/>
          <w:rtl w:val="0"/>
        </w:rPr>
      </w:pPr>
    </w:p>
    <w:p>
      <w:pPr>
        <w:pStyle w:val="P27"/>
        <w:framePr w:w="3836" w:h="249" w:hRule="exact" w:wrap="none" w:vAnchor="page" w:hAnchor="margin" w:x="6859" w:y="11319"/>
        <w:rPr>
          <w:rStyle w:val="C20"/>
          <w:rtl w:val="0"/>
        </w:rPr>
      </w:pPr>
      <w:r>
        <w:rPr>
          <w:rStyle w:val="C20"/>
          <w:rtl w:val="0"/>
        </w:rPr>
        <w:t>Způsoby ověření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a) Připravit vhodné suroviny (chemické látky nebo chemické směsi) pro zadaný technologický proces podle předložených dokumentů, charakterizovat jejich vlastnosti a parametry</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w:t>
      </w:r>
    </w:p>
    <w:p>
      <w:pPr>
        <w:pStyle w:val="P16"/>
        <w:framePr w:w="6710" w:h="831" w:hRule="exact" w:wrap="none" w:vAnchor="page" w:hAnchor="margin" w:x="45" w:y="12455"/>
        <w:rPr>
          <w:rStyle w:val="C3"/>
          <w:rtl w:val="0"/>
        </w:rPr>
      </w:pPr>
    </w:p>
    <w:p>
      <w:pPr>
        <w:pStyle w:val="P17"/>
        <w:framePr w:w="6658" w:h="704" w:hRule="exact" w:wrap="none" w:vAnchor="page" w:hAnchor="margin" w:x="71" w:y="12511"/>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455"/>
        <w:rPr>
          <w:rStyle w:val="C3"/>
          <w:rtl w:val="0"/>
        </w:rPr>
      </w:pPr>
    </w:p>
    <w:p>
      <w:pPr>
        <w:pStyle w:val="P31"/>
        <w:framePr w:w="3839" w:h="704" w:hRule="exact" w:wrap="none" w:vAnchor="page" w:hAnchor="margin" w:x="6856" w:y="12511"/>
        <w:rPr>
          <w:rStyle w:val="C22"/>
          <w:rtl w:val="0"/>
        </w:rPr>
      </w:pPr>
      <w:r>
        <w:rPr>
          <w:rStyle w:val="C22"/>
          <w:rtl w:val="0"/>
        </w:rPr>
        <w:t>Praktické předvedení</w:t>
      </w:r>
    </w:p>
    <w:p>
      <w:pPr>
        <w:pStyle w:val="P12"/>
        <w:framePr w:w="6710" w:h="607" w:hRule="exact" w:wrap="none" w:vAnchor="page" w:hAnchor="margin" w:x="45" w:y="13286"/>
        <w:rPr>
          <w:rStyle w:val="C3"/>
          <w:rtl w:val="0"/>
        </w:rPr>
      </w:pPr>
    </w:p>
    <w:p>
      <w:pPr>
        <w:pStyle w:val="P13"/>
        <w:framePr w:w="6658" w:h="480" w:hRule="exact" w:wrap="none" w:vAnchor="page" w:hAnchor="margin" w:x="71" w:y="13342"/>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286"/>
        <w:rPr>
          <w:rStyle w:val="C3"/>
          <w:rtl w:val="0"/>
        </w:rPr>
      </w:pPr>
    </w:p>
    <w:p>
      <w:pPr>
        <w:pStyle w:val="P29"/>
        <w:framePr w:w="3839" w:h="480" w:hRule="exact" w:wrap="none" w:vAnchor="page" w:hAnchor="margin" w:x="6856" w:y="13342"/>
        <w:rPr>
          <w:rStyle w:val="C21"/>
          <w:rtl w:val="0"/>
        </w:rPr>
      </w:pPr>
      <w:r>
        <w:rPr>
          <w:rStyle w:val="C21"/>
          <w:rtl w:val="0"/>
        </w:rPr>
        <w:t>Ústní ověření</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d) Popsat organizaci přípravy chemických roztoků</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nebo vysokoškolské vzdělání v oblasti chemie a alespoň 5 let odborné praxe v řídicí funkci v oblasti chemických výrob,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chemickou laboratoř se sociálním zázemím odpovídající ČSN 01 8003,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operátor, 20.10.2026 9:25:43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