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2D217" Type="http://schemas.openxmlformats.org/officeDocument/2006/relationships/officeDocument" Target="/word/document.xml" /><Relationship Id="coreR2E02D217" Type="http://schemas.openxmlformats.org/package/2006/relationships/metadata/core-properties" Target="/docProps/core.xml" /><Relationship Id="customR2E02D2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chemické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chemické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BOZP a hygieny práce a plnění úkolů ve stanovených technických a ekonomických parametrech ve svěřeném úseku chemické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evidence přítomnosti zaměstnanců na pracovišti, kontrola a evidence majetku ve svěřeném úseku chemické výroby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ve svěřeném úseku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svěřeného úseku chemické výroby; provádění úkonů jejich prvotní personální agendy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27.08.2012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20.10.2026 12:03:15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měl uchazeč střední vzdělání s výučním listem v chemickém oboru.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a manažerských znalostí a dovedností na zadaném úseku chemické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20.10.2026 12:03:15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chemii, ustavená a licencovaná pro tuto činnost HK ČR a SP ČR 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LZ Draslovka, a. s., Kolín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20.10.2026 12:03:15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