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5A419C" Type="http://schemas.openxmlformats.org/officeDocument/2006/relationships/officeDocument" Target="/word/document.xml" /><Relationship Id="coreR2B5A419C" Type="http://schemas.openxmlformats.org/package/2006/relationships/metadata/core-properties" Target="/docProps/core.xml" /><Relationship Id="customR2B5A41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drůbeže, 30.9.2026 5:58:32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drůbeže s využitím technologických postupů a hygienických zásad zacházení s drůbežím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21"/>
        <w:framePr w:w="7654" w:h="331" w:hRule="exact" w:wrap="none" w:vAnchor="page" w:hAnchor="margin" w:x="28" w:y="15940"/>
        <w:rPr>
          <w:rStyle w:val="C16"/>
          <w:rtl w:val="0"/>
        </w:rPr>
      </w:pPr>
      <w:r>
        <w:rPr>
          <w:rStyle w:val="C16"/>
          <w:rtl w:val="0"/>
        </w:rPr>
        <w:t>Porážení, jatečné opracování a porcování drůbeže, 30.9.2026 5:58:32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Porážení, jatečné opracování a porcování drůbeže, 30.9.2026 5:58:32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