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3FE3C" Type="http://schemas.openxmlformats.org/officeDocument/2006/relationships/officeDocument" Target="/word/document.xml" /><Relationship Id="coreR233FE3C" Type="http://schemas.openxmlformats.org/package/2006/relationships/metadata/core-properties" Target="/docProps/core.xml" /><Relationship Id="customR233FE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Porážení, jatečné opracování a porcování drůbeže, 20.10.2026 9:25:30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1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drůbeže s využitím technologických postupů a hygienických zásad zacházení s drůbežím masem.</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21"/>
        <w:framePr w:w="7654" w:h="331" w:hRule="exact" w:wrap="none" w:vAnchor="page" w:hAnchor="margin" w:x="28" w:y="15940"/>
        <w:rPr>
          <w:rStyle w:val="C16"/>
          <w:rtl w:val="0"/>
        </w:rPr>
      </w:pPr>
      <w:r>
        <w:rPr>
          <w:rStyle w:val="C16"/>
          <w:rtl w:val="0"/>
        </w:rPr>
        <w:t>Porážení, jatečné opracování a porcování drůbeže, 20.10.2026 9:25:30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Porážení, jatečné opracování a porcování drůbeže, 20.10.2026 9:25:30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