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B2935" Type="http://schemas.openxmlformats.org/officeDocument/2006/relationships/officeDocument" Target="/word/document.xml" /><Relationship Id="coreR8BB2935" Type="http://schemas.openxmlformats.org/package/2006/relationships/metadata/core-properties" Target="/docProps/core.xml" /><Relationship Id="customR8BB29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/ chemická technička manažerka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manažer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maturitní zkouškou v oboru technické chemie a chemie silikátů nebo v oboru přírodovědném.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je třeba zadávat komplexní úkoly prověřující aplikaci chemických a manažerských znalostí a dovedností na zadaném úseku chemické výroby, který určí autorizovaná osoba.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Plánování rozvoje a koncepce provozu chemické výroby, kritérium a), uchazeč zpracuje rámcový plán rozvoje a koncepce zadaného chemického provozu dle zadání autorizované osoby v rámci doby přípravy na zkoušku.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Posouzení technické a technologické úrovně chemického provozu z pohledu technicko-ekonomické a environmentální výkonnosti, kritérium a) a b), autorizovaná osoba připraví a při zkoušce zadá podklady pro ověření obou kritérií.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Řízení výrobních procesů ve stanovených technických, technologických a ekonomických parametrech v chemickém provozu, kritérium a), b), c); Kontrola a zabezpečování dodržování pracovní a technologické kázně, předpisů pro BOZP, požární ochranu a pro péči o životní prostředí v chemickém provozu, kritérium b), c), autorizovaná osoba určí daný chemický provoz.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způsobem "písemné a ústní ověření"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