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FD0F0" Type="http://schemas.openxmlformats.org/officeDocument/2006/relationships/officeDocument" Target="/word/document.xml" /><Relationship Id="coreR291FD0F0" Type="http://schemas.openxmlformats.org/package/2006/relationships/metadata/core-properties" Target="/docProps/core.xml" /><Relationship Id="customR291FD0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manažer provozu (kód: 28-038-M)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rozvoje a koncepce provozu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inovačních aktivit v chemickém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technické a technologické úrovně chemického provozu z pohledu technicko-ekonomické a environmentální výkonnosti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výrobních procesů ve stanovených technických, technologických a ekonomických parametrech v chemickém provozu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metodách vedoucích k udržitelné spotřebě a udržení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27.08.2012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měl uchazeč střední vzdělání s maturitní zkouškou.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a manažerských znalostí a dovedností na zadaném úseku chemické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LZ Draslovka, a. s., Kolín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