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AEEFC" Type="http://schemas.openxmlformats.org/officeDocument/2006/relationships/officeDocument" Target="/word/document.xml" /><Relationship Id="coreRE0AEEFC" Type="http://schemas.openxmlformats.org/package/2006/relationships/metadata/core-properties" Target="/docProps/core.xml" /><Relationship Id="customRE0AE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 vč. identifikace rizik, environmentálních aspektů a dopadů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 včetně legislativních požadavků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 vč. legislativních, environmentálních a bezpečnostních aspektů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30.9.2026 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měl uchazeč znalosti na úrovni středního vzdělání s výučním listem v chemickém oboru.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jsou ověřovány na komplexních úlohách z praxe. Na jedné úloze je možné ověřit kritéria z několika kompetencí.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chemického provozu a odborné učebny. V reálném provozu by byly na konkrétních příkladech činností ověřovány odborné způsobilosti v souladu s hodnoticím standardem za přítomnosti odpovědného provozního pracovníka. V odborné učebně by se měla realizovat komunikace mezi zkoušejícím a uchazečem při řešení modelových situací, které by měly simulovat činnosti v konkrétním úseku chemické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dovedností při vyhledávání legislativních požadavků a jejich aplikace pro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jednoznačné formulace při písemném i ústním vyjadřování,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30.9.2026 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30.9.2026 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