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B55CE6" Type="http://schemas.openxmlformats.org/officeDocument/2006/relationships/officeDocument" Target="/word/document.xml" /><Relationship Id="coreR7DB55CE6" Type="http://schemas.openxmlformats.org/package/2006/relationships/metadata/core-properties" Target="/docProps/core.xml" /><Relationship Id="customR7DB55C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 chemická technička analytička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analytik / chemická technička analytička, 30.9.2026 6:41:57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30.9.2026 6:41:57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30.9.2026 6:41:57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 chemická technička analytička, 30.9.2026 6:41:57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 chemická technička analytička a střední vzdělání s maturitní zkouškou a alespoň 5 let odborné praxe v chemické laboratoři.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 chemická technička analytička, 30.9.2026 6:41:57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 chemická technička analytička, 30.9.2026 6:41:57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 chemická technička analytička, 30.9.2026 6:41:57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5E0E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2550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