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CA2BDE" Type="http://schemas.openxmlformats.org/officeDocument/2006/relationships/officeDocument" Target="/word/document.xml" /><Relationship Id="coreR67CA2BDE" Type="http://schemas.openxmlformats.org/package/2006/relationships/metadata/core-properties" Target="/docProps/core.xml" /><Relationship Id="customR67CA2B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masných výrobků a drůbežích masných výrobků, 18.10.2026 18:28:51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hodnotitele), množství (počet) výrobků určí zkoušející s ohledem na časový limit.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331" w:hRule="exact" w:wrap="none" w:vAnchor="page" w:hAnchor="margin" w:x="28" w:y="15940"/>
        <w:rPr>
          <w:rStyle w:val="C16"/>
          <w:rtl w:val="0"/>
        </w:rPr>
      </w:pPr>
      <w:r>
        <w:rPr>
          <w:rStyle w:val="C16"/>
          <w:rtl w:val="0"/>
        </w:rPr>
        <w:t>Výroba masných výrobků a drůbežích masných výrobků, 18.10.2026 18:28:51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masných výrobků a drůbežích masných výrobků, 18.10.2026 18:28:51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