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282FC1" Type="http://schemas.openxmlformats.org/officeDocument/2006/relationships/officeDocument" Target="/word/document.xml" /><Relationship Id="coreR25282FC1" Type="http://schemas.openxmlformats.org/package/2006/relationships/metadata/core-properties" Target="/docProps/core.xml" /><Relationship Id="customR25282F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kovové bižuterie (kód: 28-019-H)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bižuterie; Výrobce kovové bižuterie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bižuterie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technologických podmínek pro zhotovování kovové bižuterie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Tvarování a pájení kovové bižuterie, připevňování různých druhů mechanik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Povrchové úpravy, dekorativní a ochranné povlaky při výrobě kovové bižuterie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Spojování jednotlivých dílů bižuterie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zařízení a strojů při výrobě kovové bižuterie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27.08.2012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kovové bižuterie, 7.11.2026 17:57:38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je vyžadována (odkaz na povolání v NSP – 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http://katalog.nsp.cz/karta_p.aspx?id_jp=100689&amp;kod_sm1=35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zkoušeného uchazeče vykonávat povolání v určitém úseku bižuterní výroby. 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prokáže znalosti o surovinách a používaných materiálech,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kvalita zhotoveného výrobku, estetická stránka výrobku, manuální zručnost a dále se posuzuje hospodárné využití surovin a bezpečné provádění všech úkonů.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kovové bižuterie, 7.11.2026 17:57:38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výrobců bižuterie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kovové bižuterie, 7.11.2026 17:57:38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