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30CD8A" Type="http://schemas.openxmlformats.org/officeDocument/2006/relationships/officeDocument" Target="/word/document.xml" /><Relationship Id="coreR5C30CD8A" Type="http://schemas.openxmlformats.org/package/2006/relationships/metadata/core-properties" Target="/docProps/core.xml" /><Relationship Id="customR5C30CD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listovních a balíkových zásilek, včetně dodržování zásad BOZP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provozních dokladů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žádosti o dosílku, prodloužení úložní doby, opakované doručení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https://www.nsp.cz/jednotka-prace/pracovnik-vnitrni-postovn#zdravotni-zpusobilost).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dvaceti fiktivních poštovních zásilek, včetně zásilek s nepravidelnostmi, 1 žádost o dosílku, 1 žádost opatření adresáta - prodloužení úložní doby, opakované doručení.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