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CE54E" Type="http://schemas.openxmlformats.org/officeDocument/2006/relationships/officeDocument" Target="/word/document.xml" /><Relationship Id="coreR535CE54E" Type="http://schemas.openxmlformats.org/package/2006/relationships/metadata/core-properties" Target="/docProps/core.xml" /><Relationship Id="customR535CE5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matracových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při výrobě matracových jader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30.9.2026 5:46:30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 - https://www.nsp.cz/jednotka-prace/pracovnik-vyroby-matracov#zdravotni-zpusobilost).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•vybere, zkontroluje a změří materiály a polotovary pro výrobu matracových jader podle zadání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 a popíše v reálném prostředí obsluhu strojů pro zpracování pěnových materiálů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•navrhne technologický postup tvarování dílů pro výrobu zadaného matracového jádra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•posoudí kvalitu zhotovených matracových jader podle zadaných požadavků (rozměrů, tvaru, čistoty provedení, pevnosti spojů).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•respektování předloženého zadání a technické dokumentace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•použití různých druhů hlavních čalounických materiálů, např. pružinových koster, rozličných druhů měkkých pěnových materiálů a dalších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•stanovení rozměrů matracového jádra (určení správné velikosti vzhledem k požadované velikosti matrace, pro kterou je jádro určeno).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na speciálních elektronicky řízených strojích a zařízeních nelze ověřovat praktickým předvedením z bezpečnostních a dalších důvodů (možnost poškození nesprávným nastavením a neodbornou manipulací).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odborných kompetencí zaměřených na práce se stroji a strojními zařízeními, které uchazeč vybere v reálném provozu (způsob ověření “Praktické předvedení s ústním ověřením v reálném provozu”) bude pokračovat formou odpovědí na otázky týkající se ovládání strojů nebo zařízení, nastavení parametrů, vysvětlení činnosti strojů nebo zařízení, posuzování průběhu a výsledků procesu, hodnot sledovaných parametrů, kvality produktů, způsobu reagování na různé situace. 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předpisy, měření materiálů i hotových matracových jader musí být v souladu s platnými normami.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“Ústní ověření v reálném provozu” se požaduje zodpovězení zadaných otázek, stručné vysvětlení popisované činnosti nebo obhajoba zvoleného postupu řešení.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předvedení" bude posuzováno bezpečné nebo rizikové chování uchazeče v reálném provozu.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30.9.2026 5:46:30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30.9.2026 5:46:30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8EAF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EF30E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