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E9CF9" Type="http://schemas.openxmlformats.org/officeDocument/2006/relationships/officeDocument" Target="/word/document.xml" /><Relationship Id="coreR461E9CF9" Type="http://schemas.openxmlformats.org/package/2006/relationships/metadata/core-properties" Target="/docProps/core.xml" /><Relationship Id="customR461E9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jader; Výrobce matrací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práce, používání pracovních pomůcek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3:37:44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materiálů i hotových matracových jader musí být v souladu s platnými normami.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pružinových koster, měkkých pěnových materiálů a jiných,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rozměry matracového jádra, zda jsou ve správné velikosti vzhledem k požadované velikosti matrace, pro kterou je jádro určeno.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b), c) kompetence Dodržování zásad bezpečnosti práce, používání pracovních pomůcek v nábytkářství je třeba ověřovat v rámci ověřování ostatních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3:37:44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Brno (Ing. R. Sedlák)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 (M. Bednář)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 Brno ‒ Bosonohy (Ing. I. Svobodová)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3:37:44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