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7B5A2" Type="http://schemas.openxmlformats.org/officeDocument/2006/relationships/officeDocument" Target="/word/document.xml" /><Relationship Id="coreR6BB7B5A2" Type="http://schemas.openxmlformats.org/package/2006/relationships/metadata/core-properties" Target="/docProps/core.xml" /><Relationship Id="customR6BB7B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jader; Výrobce matrací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práce, používání pracovních pomůcek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materiálů i hotových matracových jader musí být v souladu s platnými normami.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pružinových koster, měkkých pěnových materiálů a jiných,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rozměry matracového jádra, zda jsou ve správné velikosti vzhledem k požadované velikosti matrace, pro kterou je jádro určeno.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b), c) kompetence Dodržování zásad bezpečnosti práce, používání pracovních pomůcek v nábytkářství je třeba ověřovat v rámci ověřování ostatních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Brno (Ing. R. Sedlák)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 (M. Bednář)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 Brno ‒ Bosonohy (Ing. I. Svobodová)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