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6877E2" Type="http://schemas.openxmlformats.org/officeDocument/2006/relationships/officeDocument" Target="/word/document.xml" /><Relationship Id="coreR686877E2" Type="http://schemas.openxmlformats.org/package/2006/relationships/metadata/core-properties" Target="/docProps/core.xml" /><Relationship Id="customR686877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Zpracování živočišných tuků (kód: 29-025-E)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Zpracování živočišných tuků, 30.9.2026 9:00:31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1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ke zpracování živočišných tuků s využitím technologických postupů a hygienických zásad zacházení s živočišnými tuky.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pStyle w:val="P21"/>
        <w:framePr w:w="7654" w:h="331" w:hRule="exact" w:wrap="none" w:vAnchor="page" w:hAnchor="margin" w:x="28" w:y="15940"/>
        <w:rPr>
          <w:rStyle w:val="C16"/>
          <w:rtl w:val="0"/>
        </w:rPr>
      </w:pPr>
      <w:r>
        <w:rPr>
          <w:rStyle w:val="C16"/>
          <w:rtl w:val="0"/>
        </w:rPr>
        <w:t>Zpracování živočišných tuků, 30.9.2026 9:00:31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byl zpracován ve spolupráci se Sektorovou radou potravinářství a zástupci následujících institucí: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Zpracování živočišných tuků, 30.9.2026 9:00:31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