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D8DF6F" Type="http://schemas.openxmlformats.org/officeDocument/2006/relationships/officeDocument" Target="/word/document.xml" /><Relationship Id="coreR66D8DF6F" Type="http://schemas.openxmlformats.org/package/2006/relationships/metadata/core-properties" Target="/docProps/core.xml" /><Relationship Id="customR66D8DF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Zpracování živočišných tuků (kód: 29-025-E)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Zpracování živočišných tuků, 31.7.2026 16:52:43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1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ke zpracování živočišných tuků s využitím technologických postupů a hygienických zásad zacházení s živočišnými tuky.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21"/>
        <w:framePr w:w="7654" w:h="331" w:hRule="exact" w:wrap="none" w:vAnchor="page" w:hAnchor="margin" w:x="28" w:y="15940"/>
        <w:rPr>
          <w:rStyle w:val="C16"/>
          <w:rtl w:val="0"/>
        </w:rPr>
      </w:pPr>
      <w:r>
        <w:rPr>
          <w:rStyle w:val="C16"/>
          <w:rtl w:val="0"/>
        </w:rPr>
        <w:t>Zpracování živočišných tuků, 31.7.2026 16:52:43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Zpracování živočišných tuků, 31.7.2026 16:52:43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