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BD7313" Type="http://schemas.openxmlformats.org/officeDocument/2006/relationships/officeDocument" Target="/word/document.xml" /><Relationship Id="coreR8BD7313" Type="http://schemas.openxmlformats.org/package/2006/relationships/metadata/core-properties" Target="/docProps/core.xml" /><Relationship Id="customR8BD73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Zpracování živočišných tuků (kód: 29-025-E)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Zpracování živočišných tuků, 20.10.2026 12:43:09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1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ke zpracování živočišných tuků s využitím technologických postupů a hygienických zásad zacházení s živočišnými tuky.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pStyle w:val="P21"/>
        <w:framePr w:w="7654" w:h="331" w:hRule="exact" w:wrap="none" w:vAnchor="page" w:hAnchor="margin" w:x="28" w:y="15940"/>
        <w:rPr>
          <w:rStyle w:val="C16"/>
          <w:rtl w:val="0"/>
        </w:rPr>
      </w:pPr>
      <w:r>
        <w:rPr>
          <w:rStyle w:val="C16"/>
          <w:rtl w:val="0"/>
        </w:rPr>
        <w:t>Zpracování živočišných tuků, 20.10.2026 12:43:09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byl zpracován ve spolupráci se Sektorovou radou potravinářství a zástupci následujících institucí: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Zpracování živočišných tuků, 20.10.2026 12:43:09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