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0D4F7" Type="http://schemas.openxmlformats.org/officeDocument/2006/relationships/officeDocument" Target="/word/document.xml" /><Relationship Id="coreR5F70D4F7" Type="http://schemas.openxmlformats.org/package/2006/relationships/metadata/core-properties" Target="/docProps/core.xml" /><Relationship Id="customR5F70D4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demontáž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práci dílenského montážníka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zohlednit respektování činností vedoucích ke zhotovení dvou typů výrobků za použití různých druhů materiálů (dřevotřískové a dřevovláknité desky, masivní dřevo, plasty, lamináty aj.)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nábytkových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kování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vnitřního a vnějšího vybavení, mechanismů a komponentů.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Důraz je rovněž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