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43C7" Type="http://schemas.openxmlformats.org/officeDocument/2006/relationships/officeDocument" Target="/word/document.xml" /><Relationship Id="coreR2DD43C7" Type="http://schemas.openxmlformats.org/package/2006/relationships/metadata/core-properties" Target="/docProps/core.xml" /><Relationship Id="customR2DD43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sesazenek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 pro výrobu sesazenek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 sesazenek podle kresby a dýhování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výrobě sesazenek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dýhami a jejich kontrolou, volbu postupu práce, práci s dodanou dokumentací, obsluhu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výrobku. Hlavní důraz je třeba klást na kvalitu výsledných produktů.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