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A33E1B" Type="http://schemas.openxmlformats.org/officeDocument/2006/relationships/officeDocument" Target="/word/document.xml" /><Relationship Id="coreRAA33E1B" Type="http://schemas.openxmlformats.org/package/2006/relationships/metadata/core-properties" Target="/docProps/core.xml" /><Relationship Id="customRAA33E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truhlářských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materiálem, polotovary a výrobky a jejich značkování v dřevařství, při výrobě nábytkářských výrobků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obsluze 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27.7.2026 16:49:01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splnění kritérií by mělo vést ke zhotovení dílců (včetně provedení konstrukčních spojů) pro dva výrobky s využitím běžně používaných technologických postupů a měl by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konstrukční a technologickou dokumentací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nábytkářského výrobku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strojní obrábění dřevěných a plastových materiálů (hrubé řezání s odpovídající nadmírou, přesné formátování při dodržení standardně dovolených tolerancí, srovnávání ploch, přesné tloušťkování při dodržení standardně dovolených tolerancí, tvarové frézování, zhotovování konstrukčních spojů řezáním, frézováním, vrtáním a dlabáním při dodržení standardně dovolených tolerancí, broušení masivních a dýhovaných dílců)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dokončování bočních ploch (hran) plošných nábytkových dílců olepením dýhovou, ABS, PVC nebo melaminovou páskou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27.7.2026 16:49:01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27.7.2026 16:49:01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