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E3D895" Type="http://schemas.openxmlformats.org/officeDocument/2006/relationships/officeDocument" Target="/word/document.xml" /><Relationship Id="coreR49E3D895" Type="http://schemas.openxmlformats.org/package/2006/relationships/metadata/core-properties" Target="/docProps/core.xml" /><Relationship Id="customR49E3D8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dýhování a laminátování nábytku, 20.10.2026 8:49:15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20.10.2026 8:49:15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20.10.2026 8:49:15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dýhování a laminátování nábytku, 20.10.2026 8:49:15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Pracovník/pracovnice dýhování a laminátování nábytku + střední vzdělání s maturitní zkouškou a alespoň 5 let odborné praxe v oblasti nábytkářské výroby.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dýhování a laminátování nábytku, 20.10.2026 8:49:15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dýhování a laminátování nábytku, 20.10.2026 8:49:15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Pracovník/pracovnice dýhování a laminátování nábytku, 20.10.2026 8:49:15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4F2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8A1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