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AE528" Type="http://schemas.openxmlformats.org/officeDocument/2006/relationships/officeDocument" Target="/word/document.xml" /><Relationship Id="coreR1C7AE528" Type="http://schemas.openxmlformats.org/package/2006/relationships/metadata/core-properties" Target="/docProps/core.xml" /><Relationship Id="customR1C7AE5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způsobu zpracování, nástrojů a materiálů pro zhotovování výrobků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pro dýhování a laminátování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Nakládání s odpadem z truhlářské výroby při dýhování a laminátování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dýhování a laminátování nábytku, 20.10.2026 13:06:22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nástroje, nářadí, pomůcky a měřidla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druh a množství materiálů a polotovarů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Obsluhovat nanášecí a lisovací zařízení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Provést základní údržbu používaného technického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ústním vysvětlením</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Při všech pracovních operacích dodržet zásady BOZP a PO</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547" w:hRule="exact" w:wrap="none" w:vAnchor="page" w:hAnchor="margin" w:x="28" w:y="8305"/>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Připravit nosný a povrchový materiál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lepidlo nebo lepicí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Aplikovat lepidlo</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Sestavit soubory z nosného a povrchových materiálů, slisovat soubory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 s ústním vysvětlením</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e) Při všech pracovních operacích dodržet zásady BOZP a PO</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547" w:hRule="exact" w:wrap="none" w:vAnchor="page" w:hAnchor="margin" w:x="28" w:y="11758"/>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2405"/>
        <w:rPr>
          <w:rStyle w:val="C3"/>
          <w:rtl w:val="0"/>
        </w:rPr>
      </w:pPr>
    </w:p>
    <w:p>
      <w:pPr>
        <w:pStyle w:val="P25"/>
        <w:framePr w:w="6661" w:h="249" w:hRule="exact" w:wrap="none" w:vAnchor="page" w:hAnchor="margin" w:x="71" w:y="12476"/>
        <w:rPr>
          <w:rStyle w:val="C19"/>
          <w:rtl w:val="0"/>
        </w:rPr>
      </w:pPr>
      <w:r>
        <w:rPr>
          <w:rStyle w:val="C19"/>
          <w:rtl w:val="0"/>
        </w:rPr>
        <w:t>Kritéria hodnocení</w:t>
      </w:r>
    </w:p>
    <w:p>
      <w:pPr>
        <w:pStyle w:val="P26"/>
        <w:framePr w:w="3918" w:h="376" w:hRule="exact" w:wrap="none" w:vAnchor="page" w:hAnchor="margin" w:x="6803" w:y="12405"/>
        <w:rPr>
          <w:rStyle w:val="C3"/>
          <w:rtl w:val="0"/>
        </w:rPr>
      </w:pPr>
    </w:p>
    <w:p>
      <w:pPr>
        <w:pStyle w:val="P27"/>
        <w:framePr w:w="3836" w:h="249" w:hRule="exact" w:wrap="none" w:vAnchor="page" w:hAnchor="margin" w:x="6859" w:y="12476"/>
        <w:rPr>
          <w:rStyle w:val="C20"/>
          <w:rtl w:val="0"/>
        </w:rPr>
      </w:pPr>
      <w:r>
        <w:rPr>
          <w:rStyle w:val="C20"/>
          <w:rtl w:val="0"/>
        </w:rPr>
        <w:t>Způsoby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a) Provést vstupní kontrolu materiálů a jejich případnou opravu</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Praktické předvedení s ústním vysvětlením</w:t>
      </w:r>
    </w:p>
    <w:p>
      <w:pPr>
        <w:pStyle w:val="P16"/>
        <w:framePr w:w="6710" w:h="376" w:hRule="exact" w:wrap="none" w:vAnchor="page" w:hAnchor="margin" w:x="45" w:y="13157"/>
        <w:rPr>
          <w:rStyle w:val="C3"/>
          <w:rtl w:val="0"/>
        </w:rPr>
      </w:pPr>
    </w:p>
    <w:p>
      <w:pPr>
        <w:pStyle w:val="P17"/>
        <w:framePr w:w="6658" w:h="249" w:hRule="exact" w:wrap="none" w:vAnchor="page" w:hAnchor="margin" w:x="71" w:y="13213"/>
        <w:rPr>
          <w:rStyle w:val="C13"/>
          <w:rtl w:val="0"/>
        </w:rPr>
      </w:pPr>
      <w:r>
        <w:rPr>
          <w:rStyle w:val="C13"/>
          <w:rtl w:val="0"/>
        </w:rPr>
        <w:t>b) Provést kontrolu zhotovených polotovarů a jejich případnou opravu</w:t>
      </w:r>
    </w:p>
    <w:p>
      <w:pPr>
        <w:pStyle w:val="P30"/>
        <w:framePr w:w="3921" w:h="376" w:hRule="exact" w:wrap="none" w:vAnchor="page" w:hAnchor="margin" w:x="6800" w:y="13157"/>
        <w:rPr>
          <w:rStyle w:val="C3"/>
          <w:rtl w:val="0"/>
        </w:rPr>
      </w:pPr>
    </w:p>
    <w:p>
      <w:pPr>
        <w:pStyle w:val="P31"/>
        <w:framePr w:w="3839" w:h="249" w:hRule="exact" w:wrap="none" w:vAnchor="page" w:hAnchor="margin" w:x="6856" w:y="13213"/>
        <w:rPr>
          <w:rStyle w:val="C22"/>
          <w:rtl w:val="0"/>
        </w:rPr>
      </w:pPr>
      <w:r>
        <w:rPr>
          <w:rStyle w:val="C22"/>
          <w:rtl w:val="0"/>
        </w:rPr>
        <w:t>Praktické předvedení s ústním vysvětlením</w:t>
      </w:r>
    </w:p>
    <w:p>
      <w:pPr>
        <w:pStyle w:val="P12"/>
        <w:framePr w:w="6710" w:h="376" w:hRule="exact" w:wrap="none" w:vAnchor="page" w:hAnchor="margin" w:x="45" w:y="13533"/>
        <w:rPr>
          <w:rStyle w:val="C3"/>
          <w:rtl w:val="0"/>
        </w:rPr>
      </w:pPr>
    </w:p>
    <w:p>
      <w:pPr>
        <w:pStyle w:val="P13"/>
        <w:framePr w:w="6658" w:h="249" w:hRule="exact" w:wrap="none" w:vAnchor="page" w:hAnchor="margin" w:x="71" w:y="13589"/>
        <w:rPr>
          <w:rStyle w:val="C11"/>
          <w:rtl w:val="0"/>
        </w:rPr>
      </w:pPr>
      <w:r>
        <w:rPr>
          <w:rStyle w:val="C11"/>
          <w:rtl w:val="0"/>
        </w:rPr>
        <w:t>c) Při všech pracovních operacích dodržet zásady BOZP a PO</w:t>
      </w:r>
    </w:p>
    <w:p>
      <w:pPr>
        <w:pStyle w:val="P28"/>
        <w:framePr w:w="3921" w:h="376" w:hRule="exact" w:wrap="none" w:vAnchor="page" w:hAnchor="margin" w:x="6800" w:y="13533"/>
        <w:rPr>
          <w:rStyle w:val="C3"/>
          <w:rtl w:val="0"/>
        </w:rPr>
      </w:pPr>
    </w:p>
    <w:p>
      <w:pPr>
        <w:pStyle w:val="P29"/>
        <w:framePr w:w="3839" w:h="249" w:hRule="exact" w:wrap="none" w:vAnchor="page" w:hAnchor="margin" w:x="6856" w:y="13589"/>
        <w:rPr>
          <w:rStyle w:val="C21"/>
          <w:rtl w:val="0"/>
        </w:rPr>
      </w:pPr>
      <w:r>
        <w:rPr>
          <w:rStyle w:val="C21"/>
          <w:rtl w:val="0"/>
        </w:rPr>
        <w:t>Praktické předvedení</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20.10.2026 13:06:22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20.10.2026 13:06:22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výrobě 10 kusů nábytkových polotovarů za použití různých druhů a tlouštěk nosných materiálů (polotvrdá dřevovláknitá deska /MDF/, dřevotřísková deska /DTD/, laťovka) s využitím běžně používaných technologických postupů a při dodržování standardně dovolených tolerancí. Jako povrchový (dokončovací) materiál použít dýhové sesazenky a laminát různých tloušťek.</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přípravu nosného a povrchového materiálu, kontrolu kvality a případnou opravu, kontrolu, seřízení a nastavení nanášecího a lisovacího zařízení, výběr lepidla a jeho nanesení, lisování připravených souborů, kontrolu kvality zhotovených polotovarů a jejich případnou opravu, údržbu nanášecího a lisovacího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dýhování a laminátování nábytku, 20.10.2026 13:06:22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33-016-H Pracovník/pracovnice dýhování a laminátování nábytku + střední vzdělání s maturitní zkouškou a alespoň 5 let odborné praxe v oblasti nábytkářské výroby.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dýhování a laminátování nábytku, 20.10.2026 13:06:22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(polotvrdá dřevovláknitá deska /MDF/, dřevotřísková deska /DTD/, laťovka, dýhové sesazenky, povrchové lamináty)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vybavení: svinovací metr, dláto šíře 24‒26 mm, nůž, pracovní stůl, psací potřeby, krepovou maskovací pásku, štětec, smirkový papír 80, 100 a 120, špachtli a tmel pro drobné opravy nosného materiálu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dýhování a laminátování nábytku, 20.10.2026 13:06:22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Pracovník/pracovnice dýhování a laminátování nábytku, 20.10.2026 13:06:22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34AC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3763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