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024CEE" Type="http://schemas.openxmlformats.org/officeDocument/2006/relationships/officeDocument" Target="/word/document.xml" /><Relationship Id="coreR2F024CEE" Type="http://schemas.openxmlformats.org/package/2006/relationships/metadata/core-properties" Target="/docProps/core.xml" /><Relationship Id="customR2F024C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způsobu, zpracování, nástrojů a materiálů pro zhotovování výrobků ze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dýhování a laminátování nábytku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Příprava, úprava a opracování surovin a materiálů podle technologického postupu pro dýhování a laminátování nábytku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dýhování a laminátování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30.9.2026 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rozhodující výsledná kvalita výrobku s přihlédnutím na jeho funkčnost, užitnou hodnotu a ekonomičnost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30.9.2026 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30.9.2026 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