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54339" Type="http://schemas.openxmlformats.org/officeDocument/2006/relationships/officeDocument" Target="/word/document.xml" /><Relationship Id="coreR6E254339" Type="http://schemas.openxmlformats.org/package/2006/relationships/metadata/core-properties" Target="/docProps/core.xml" /><Relationship Id="customR6E254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Bednění základového pásu, bednění sloupu čtvercového průřezu, bednění trámu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a demontáž tesařských systémových bednění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bednění, 19.4.2026 21:27:03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tesařský výkres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účel prováděcího výkresu a orientovat se v něm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Převést rozměry prvků podle zadání do daných měřítek</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a předvést pracovní postupy podle konkrétního zadání a upozornit na možné chyby při řezání a hoblování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Předvést podle konkrétního zadání opracování materiálů a zhotovení dřevěných prvků konstrukcí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Dodržet zásady BOZP při všech pracovních operacích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Rozpoznat druhy dřevěných a kovových spojovacích prostředků a určit jejich použití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Rozpoznat druhy tesařských spojů a určit jejich použití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Dodržet zásady BOZP při všech pracovních operacích</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Vysvětlit postupy provedení jednotlivých bednění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b) Sestavit bednění podle zadání, popsat jeho části, funkci a zajištění bednění</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Dodržet zásady BOZP při všech pracovních operacích</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19.4.2026 21:27:03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opravu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při všech pracovních operacích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19.4.2026 21:27:03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http://katalog.nsp.cz/karta_tp.aspx?id_jp=101929&amp;kod_sm1=31).</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budou uchazeči zadávány operace (pracovní úkony) náležející k příslušným odborným kompetencím. Jednotlivá kritéria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se ověřují uvedenými nástroji hodnocení a zaměřují se jak na vlastní provádění operace, tak na výsledek pracovní činnosti.</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těchto pracovních činností: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dle konkrétního zadání,</w:t>
      </w:r>
    </w:p>
    <w:p>
      <w:pPr>
        <w:keepNext w:val="0"/>
        <w:keepLines w:val="1"/>
        <w:framePr w:w="10766" w:h="6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cca 250 mm, výška cca 300 mm, s jedním rohem,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6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jedou řadou stojek, délka cca 1000 mm, šířka cca 300 mm, výška cca 300 mm,</w:t>
      </w:r>
    </w:p>
    <w:p>
      <w:pPr>
        <w:keepNext w:val="0"/>
        <w:keepLines w:val="1"/>
        <w:framePr w:w="10766" w:h="6911"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973"/>
        <w:rPr>
          <w:rStyle w:val="C3"/>
          <w:rtl w:val="0"/>
        </w:rPr>
      </w:pPr>
    </w:p>
    <w:p>
      <w:pPr>
        <w:pStyle w:val="P35"/>
        <w:framePr w:w="10710" w:h="340" w:hRule="exact" w:wrap="none" w:vAnchor="page" w:hAnchor="margin" w:x="28" w:y="9973"/>
        <w:rPr>
          <w:rStyle w:val="C25"/>
          <w:rtl w:val="0"/>
        </w:rPr>
      </w:pPr>
      <w:r>
        <w:rPr>
          <w:rStyle w:val="C25"/>
          <w:rtl w:val="0"/>
        </w:rPr>
        <w:t>Výsledné hodnocení</w:t>
      </w:r>
    </w:p>
    <w:p>
      <w:pPr>
        <w:keepNext w:val="0"/>
        <w:keepLines w:val="0"/>
        <w:framePr w:w="10766" w:h="1497" w:hRule="exact" w:wrap="none" w:vAnchor="page" w:hAnchor="margin" w:x="0" w:y="10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7"/>
        <w:rPr>
          <w:rStyle w:val="C3"/>
          <w:rtl w:val="0"/>
        </w:rPr>
      </w:pPr>
    </w:p>
    <w:p>
      <w:pPr>
        <w:pStyle w:val="P35"/>
        <w:framePr w:w="10710" w:h="340" w:hRule="exact" w:wrap="none" w:vAnchor="page" w:hAnchor="margin" w:x="28" w:y="12037"/>
        <w:rPr>
          <w:rStyle w:val="C25"/>
          <w:rtl w:val="0"/>
        </w:rPr>
      </w:pPr>
      <w:r>
        <w:rPr>
          <w:rStyle w:val="C25"/>
          <w:rtl w:val="0"/>
        </w:rPr>
        <w:t>Počet zkoušejících</w:t>
      </w:r>
    </w:p>
    <w:p>
      <w:pPr>
        <w:keepNext w:val="0"/>
        <w:keepLines w:val="0"/>
        <w:framePr w:w="10766" w:h="1036" w:hRule="exact" w:wrap="none" w:vAnchor="page" w:hAnchor="margin" w:x="0" w:y="12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19.4.2026 21:27:03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 z toho minimálně jeden rok v období posledních dvou let před podáním žádosti o autorizaci.</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z toho minimálně jeden rok v období posledních dvou let před podáním žádosti o autorizaci. </w:t>
      </w:r>
    </w:p>
    <w:p>
      <w:pPr>
        <w:keepNext w:val="0"/>
        <w:keepLines w:val="1"/>
        <w:framePr w:w="10766" w:h="965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z toho minimálně jeden rok v období posledních dvou let před podáním žádosti o autorizaci.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19.4.2026 21:27:03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4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přípravy na zkoušku</w:t>
      </w:r>
    </w:p>
    <w:p>
      <w:pPr>
        <w:keepNext w:val="0"/>
        <w:keepLines w:val="0"/>
        <w:framePr w:w="10766" w:h="103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64"/>
        <w:rPr>
          <w:rStyle w:val="C3"/>
          <w:rtl w:val="0"/>
        </w:rPr>
      </w:pPr>
    </w:p>
    <w:p>
      <w:pPr>
        <w:pStyle w:val="P35"/>
        <w:framePr w:w="10710" w:h="340" w:hRule="exact" w:wrap="none" w:vAnchor="page" w:hAnchor="margin" w:x="28" w:y="11764"/>
        <w:rPr>
          <w:rStyle w:val="C25"/>
          <w:rtl w:val="0"/>
        </w:rPr>
      </w:pPr>
      <w:r>
        <w:rPr>
          <w:rStyle w:val="C25"/>
          <w:rtl w:val="0"/>
        </w:rPr>
        <w:t>Doba pro vykonání zkoušky</w:t>
      </w:r>
    </w:p>
    <w:p>
      <w:pPr>
        <w:keepNext w:val="0"/>
        <w:keepLines w:val="0"/>
        <w:framePr w:w="10766" w:h="80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rozdělena do více dnů. </w:t>
      </w:r>
    </w:p>
    <w:p>
      <w:pPr>
        <w:pStyle w:val="P21"/>
        <w:framePr w:w="7654" w:h="331" w:hRule="exact" w:wrap="none" w:vAnchor="page" w:hAnchor="margin" w:x="28" w:y="15940"/>
        <w:rPr>
          <w:rStyle w:val="C16"/>
          <w:rtl w:val="0"/>
        </w:rPr>
      </w:pPr>
      <w:r>
        <w:rPr>
          <w:rStyle w:val="C16"/>
          <w:rtl w:val="0"/>
        </w:rPr>
        <w:t>Dělník výroby bednění, 19.4.2026 21:27:03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bednění, 19.4.2026 21:27:03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240A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635D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851F86"/>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B8AE6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25EAC94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E65EB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