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A49866" Type="http://schemas.openxmlformats.org/officeDocument/2006/relationships/officeDocument" Target="/word/document.xml" /><Relationship Id="coreR58A49866" Type="http://schemas.openxmlformats.org/package/2006/relationships/metadata/core-properties" Target="/docProps/core.xml" /><Relationship Id="customR58A498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bednění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Bednění základového pásu, bednění sloupu čtvercového průřezu, bednění trámu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a demontáž tesařských systémových bednění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http://katalog.nsp.cz/karta_tp.aspx?id_jp=101929&amp;kod_sm1=31).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budou uchazeči zadávány operace (pracovní úkony) náležející k příslušným odborným kompetencím. Jednotlivá kritéria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uchazeč předvede vykonání těchto pracovních činností: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dle konkrétního zadání,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základového pásu v rozsahu: minimální délka cca 1500 mm, šířka cca 250 mm, výška cca 300 mm, s jedním rohem,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sloupu čtvercového průřezu: průřez cca 300 x 300 mm, výška cca 1000 mm,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trámu: minimálně s jedou řadou stojek, délka cca 1000 mm, šířka cca 300 mm, výška cca 300 mm,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91F95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FEF168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7EDB86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