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C3490" Type="http://schemas.openxmlformats.org/officeDocument/2006/relationships/officeDocument" Target="/word/document.xml" /><Relationship Id="coreR288C3490" Type="http://schemas.openxmlformats.org/package/2006/relationships/metadata/core-properties" Target="/docProps/core.xml" /><Relationship Id="customR288C3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bednění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Bednění základového pásu, bednění sloupu čtvercového průřezu, bednění trámu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a demontáž tesařských systémových bednění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http://katalog.nsp.cz/karta_tp.aspx?id_jp=101929&amp;kod_sm1=31).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budou uchazeči zadávány operace (pracovní úkony) náležející k příslušným odborným kompetencím. Jednotlivá kritéria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uchazeč předvede vykonání těchto pracovních činností: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dle konkrétního zadání,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cca 250 mm, výška cca 300 mm, s jedním rohem,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jedou řadou stojek, délka cca 1000 mm, šířka cca 300 mm, výška cca 300 mm,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C6E49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518C0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E56E23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