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6E225B" Type="http://schemas.openxmlformats.org/officeDocument/2006/relationships/officeDocument" Target="/word/document.xml" /><Relationship Id="coreRD6E225B" Type="http://schemas.openxmlformats.org/package/2006/relationships/metadata/core-properties" Target="/docProps/core.xml" /><Relationship Id="customRD6E22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výroby bednění (kód: 33-026-E)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výroby bednění; Dělník v dřevozpracujícím průmyslu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 při zpracování dřeva a výrobě dřevařských výrobků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ve stavebních a prováděcích výkresech a technické dokumentaci tesařských konstrukcí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a strojní opracování dřevěných materiálů, zhotovení dřevěných prvků konstrukcí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Spojování tesařských konstrukcí tesařskými spoji, dřevěnými a kovovými prostředky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Bednění základového pásu, bednění sloupu čtvercového průřezu, bednění trámu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Montáž a demontáž tesařských systémových bednění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29.08.2012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bednění, 30.9.2026 5:59:18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musí být kladen důraz zejména: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na respektování předloženého zadání a technické dokumentace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na použití správných druhů dřevěných materiálů 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při ověřování kritérií formou praktického předvedení je třeba přihlížet především k bezpečnému provádění všech úkonů a ke kvalitě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bednění, 30.9.2026 5:59:18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MANO, Praha 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bednění, 30.9.2026 5:59:18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