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54E961" Type="http://schemas.openxmlformats.org/officeDocument/2006/relationships/officeDocument" Target="/word/document.xml" /><Relationship Id="coreR4354E961" Type="http://schemas.openxmlformats.org/package/2006/relationships/metadata/core-properties" Target="/docProps/core.xml" /><Relationship Id="customR4354E9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výkovků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strojního kování, tvarování, ohýbání kovů, ohřevu materiálu v kovářských pecích a výhních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kovářských pecí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tvářecích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zařízení pro tepelné zpracování výkovků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Dokončovací práce na výkovcích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Mazání při kování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Kování neželezných kovů a slitin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materiálem, prostředky pro manipulaci s materiálem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Ošetření a běžná údržba zařízení kovárny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v kovárně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20.10.2026 10:59:48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https://www.nsp.cz/jednotka-prace/kovar-strojni-0052#zdravotni-zpusobilost).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 (např. u kompetence „Volba postupu práce a technologických podmínek strojního kování, tvarování, ohýbání kovů, ohřevu materiálu v kovářských pecích a výhních“ kde je možná kombinace kritérií a) + b) kování do zápustků, nebo b) + c) kování volné, s rozdílnou technologií a rozdílným vybavením kovárny) zkoušející sdělí a nejpozději spolu s pozvánkou zašle uchazeči o zkoušku výčet kritérií, která lze s ohledem na technické a technologické podmínky autorizované osoby ověřovat,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20.10.2026 10:59:48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KOVÁRNA VIVA,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Kovář strojní, 20.10.2026 10:59:48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