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0E0009" Type="http://schemas.openxmlformats.org/officeDocument/2006/relationships/officeDocument" Target="/word/document.xml" /><Relationship Id="coreR6F0E0009" Type="http://schemas.openxmlformats.org/package/2006/relationships/metadata/core-properties" Target="/docProps/core.xml" /><Relationship Id="customR6F0E00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(kód: 28-036-H)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odpadů a druhotných surovin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a druhotných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výrobků s ukončenou životností podle stanoveného postupu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Třídění odpadů a druhotných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skladování částí výrobků, druhotných surovin a odpadů z recyklačního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 recyklačního procesu k přepravě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menšího pracovního kolektivu vykonávajícího jednoduché nebo pomocné činnosti v oblasti recyklace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ověřování jsou autorizovanou osobou připraveny k dotčeným kriteriím nejméně dvě úlohy, které umožní ověřit příslušná kritéria. Zkoušející také podle zaměření uchazeče zpřesní komoditní obsah části zkoušky na vybrané (určené) druhy odpadů a druhotných surovin. Výběr nejméně dvou komoditně odlišných vzorků stanoví AOs podle odborného zaměření uchazeče o zkoušku.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odpad, požadavky na bezpečné zacházení s konkrétním nářadím nebo zařízením) dostane uchazeč dle rozhodnutí zkoušejícícho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je uchazeči zadán úkol, uchazeč vypracuje podle zadání popis, charakteristiku, seznam požadavků, parametrů, doplněné o jejich vysvětlení a zdůvodnění.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zadaného úkolu, zadání, ve smyslu doplnění informací nebo doplnění vysvětlení.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- Svaz průmyslu druhotných surovin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