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A555C8" Type="http://schemas.openxmlformats.org/officeDocument/2006/relationships/officeDocument" Target="/word/document.xml" /><Relationship Id="coreRAA555C8" Type="http://schemas.openxmlformats.org/package/2006/relationships/metadata/core-properties" Target="/docProps/core.xml" /><Relationship Id="customRAA555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recyklaci (kód: 28-036-H)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standardech a normách k odpadům a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recyklace podle standardních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technologického procesu recyklace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výrobků s ukončenou životností podle stanoveného postupu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Třídění odpadu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skladování částí výrobků, druhotných surovin a odpadů z recyklačního procesu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částí výrobků, druhotných surovin a odpadů z recyklačního procesu k přepravě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menšího pracovního kolektivu vykonávajících jednoduché nebo pomocné činnosti v oblasti recyklace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02.11.2012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recyklaci, 2.10.2026 3:50:31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ke kvalitě provedení operací uchazečem při současném dodržení zásad BOZP a PO a hygienických předpisů. Při ověřování splnění kritérií založených na teoretických znalostech se vychází z aktuálních publikací komentovaných příruček o odpadech, např. Dashöfer Verlag, z metodických pokynů MŽP, z aktuálního znění zákona o odpadech, vyhlášek a prováděcích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recyklaci, 2.10.2026 3:50:31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chemii,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(Sdružení výkupců a zpracovatelů druhotných surovin)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recyklaci, 2.10.2026 3:50:31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