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58D36" Type="http://schemas.openxmlformats.org/officeDocument/2006/relationships/officeDocument" Target="/word/document.xml" /><Relationship Id="coreR5F058D36" Type="http://schemas.openxmlformats.org/package/2006/relationships/metadata/core-properties" Target="/docProps/core.xml" /><Relationship Id="customR5F058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Elektrotechnik koncových vysokofrekvenčních zařízení, 20.6.2026 20:06:29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 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stazku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20.6.2026 20:06:29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20.6.2026 20:06:29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20.6.2026 20:06:29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76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 9, ve znění pozdějších předpisů.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pStyle w:val="P34"/>
        <w:framePr w:w="10766" w:h="1837" w:hRule="exact" w:wrap="none" w:vAnchor="page" w:hAnchor="margin" w:x="0" w:y="10141"/>
        <w:rPr>
          <w:rStyle w:val="C3"/>
          <w:rtl w:val="0"/>
        </w:rPr>
      </w:pPr>
    </w:p>
    <w:p>
      <w:pPr>
        <w:pStyle w:val="P36"/>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205"/>
        <w:rPr>
          <w:rStyle w:val="C3"/>
          <w:rtl w:val="0"/>
        </w:rPr>
      </w:pPr>
    </w:p>
    <w:p>
      <w:pPr>
        <w:pStyle w:val="P36"/>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koncových vysokofrekvenčních zařízení, 20.6.2026 20:06:29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2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oprávnění dle vyhlášky č. 50/1978 Sb., § 9, ve znění pozdějších předpisů.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koncových vysokofrekvenčních zařízení, 20.6.2026 20:06:29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20.6.2026 20:06:29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koncových vysokofrekvenčních zařízení, 20.6.2026 20:06:29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F3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E98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CF28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