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31B2F" Type="http://schemas.openxmlformats.org/officeDocument/2006/relationships/officeDocument" Target="/word/document.xml" /><Relationship Id="coreR5BF31B2F" Type="http://schemas.openxmlformats.org/package/2006/relationships/metadata/core-properties" Target="/docProps/core.xml" /><Relationship Id="customR5BF31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 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stazku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76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 9, ve znění pozdějších předpisů.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pStyle w:val="P34"/>
        <w:framePr w:w="10766" w:h="1837" w:hRule="exact" w:wrap="none" w:vAnchor="page" w:hAnchor="margin" w:x="0" w:y="10141"/>
        <w:rPr>
          <w:rStyle w:val="C3"/>
          <w:rtl w:val="0"/>
        </w:rPr>
      </w:pPr>
    </w:p>
    <w:p>
      <w:pPr>
        <w:pStyle w:val="P36"/>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205"/>
        <w:rPr>
          <w:rStyle w:val="C3"/>
          <w:rtl w:val="0"/>
        </w:rPr>
      </w:pPr>
    </w:p>
    <w:p>
      <w:pPr>
        <w:pStyle w:val="P36"/>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2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oprávnění dle vyhlášky č. 50/1978 Sb., § 9, ve znění pozdějších předpisů.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oprávnění dle vyhlášky č. 50/1978 Sb., § 9, ve znění pozdějších předpisů.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oprávnění dle vyhlášky č. 50/1978 Sb., § 9, ve znění pozdějších předpisů.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koncových vysokofrekvenčních zařízení, 31.7.2026 13:16:32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6D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34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540F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