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2A41E" Type="http://schemas.openxmlformats.org/officeDocument/2006/relationships/officeDocument" Target="/word/document.xml" /><Relationship Id="coreR3EB2A41E" Type="http://schemas.openxmlformats.org/package/2006/relationships/metadata/core-properties" Target="/docProps/core.xml" /><Relationship Id="customR3EB2A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 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stazku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760"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 9, ve znění pozdějších předpisů.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pStyle w:val="P34"/>
        <w:framePr w:w="10766" w:h="1837" w:hRule="exact" w:wrap="none" w:vAnchor="page" w:hAnchor="margin" w:x="0" w:y="10141"/>
        <w:rPr>
          <w:rStyle w:val="C3"/>
          <w:rtl w:val="0"/>
        </w:rPr>
      </w:pPr>
    </w:p>
    <w:p>
      <w:pPr>
        <w:pStyle w:val="P36"/>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2205"/>
        <w:rPr>
          <w:rStyle w:val="C3"/>
          <w:rtl w:val="0"/>
        </w:rPr>
      </w:pPr>
    </w:p>
    <w:p>
      <w:pPr>
        <w:pStyle w:val="P36"/>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2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oprávnění dle vyhlášky č. 50/1978 Sb., § 9, ve znění pozdějších předpisů.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oprávnění dle vyhlášky č. 50/1978 Sb., § 9, ve znění pozdějších předpisů.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koncových vysokofrekvenčních zařízení, 20.8.2026 20:00:03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843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D7A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A28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