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BAC9B4" Type="http://schemas.openxmlformats.org/officeDocument/2006/relationships/officeDocument" Target="/word/document.xml" /><Relationship Id="coreR6EBAC9B4" Type="http://schemas.openxmlformats.org/package/2006/relationships/metadata/core-properties" Target="/docProps/core.xml" /><Relationship Id="customR6EBAC9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21.08.2019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https://nsp.cz/jednotka-prace/elektrotechnik-koncovych-#zdravotni-zpusobilost).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§ 9, ve znění pozdějších předpisů.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vysokofrekvenční kabelové trasy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testování kabelových propojektů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Uvádění do provozu, nastavování a ladění instalovaného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Revize, údržba a opravy instalovaných vysokofrekvenčních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b), c),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vedení provozně-technické dokumentace instalovaných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Zaškolování uživatelů a obsluh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při montáži, revizi, údržbě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připraví autorizovaná osoba tři úlohy s konkrétním zadáním, jedno ze zadání si uchazeč vybere.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a montáž vysokofrekvenční kabelové trasy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Uvádění do provozu, nastavování a ladění instalovaného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d), f), připraví autorizovaná osoba tři zadání, jedno ze zadání si uchazeč vybere.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Zaškolování uživatelů a obsluh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b), připraví autorizovaná osoba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Vojenský technický ústav,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koncových vysokofrekvenčních zařízení, 30.9.2026 6:54:21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