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6952F" Type="http://schemas.openxmlformats.org/officeDocument/2006/relationships/officeDocument" Target="/word/document.xml" /><Relationship Id="coreRA76952F" Type="http://schemas.openxmlformats.org/package/2006/relationships/metadata/core-properties" Target="/docProps/core.xml" /><Relationship Id="customRA7695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 obhajobou</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Výběr a testování kabelových svazků a kabelových propojek</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a) Z předloženého katalogu kabelů a vodičů vybrat vhodné typy pro předložené případy použití (např. venkovní silový rozvod 3x400V, komunikační sběrnice Ethernet, atd. …)</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Praktické předvedení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b) Z předloženého katalogu kabelů a vodičů vybrat kabely z vhodných materiálů do prostředí se zvýšeným nebezpečím požáru</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12"/>
        <w:framePr w:w="6710" w:h="1280" w:hRule="exact" w:wrap="none" w:vAnchor="page" w:hAnchor="margin" w:x="45" w:y="11749"/>
        <w:rPr>
          <w:rStyle w:val="C3"/>
          <w:rtl w:val="0"/>
        </w:rPr>
      </w:pPr>
    </w:p>
    <w:p>
      <w:pPr>
        <w:pStyle w:val="P13"/>
        <w:framePr w:w="6658" w:h="1153" w:hRule="exact" w:wrap="none" w:vAnchor="page" w:hAnchor="margin" w:x="71" w:y="11805"/>
        <w:rPr>
          <w:rStyle w:val="C11"/>
          <w:rtl w:val="0"/>
        </w:rPr>
      </w:pPr>
      <w:r>
        <w:rPr>
          <w:rStyle w:val="C11"/>
          <w:rtl w:val="0"/>
        </w:rPr>
        <w:t>c) Provést testování kabelového svazku na testovacím zařízení (např. kompletní elektrické propojení, zjištění správné polohy kontaktu nebo tvaru kontaktu, detekci přítomnosti jednotlivých komponent svazku (např. různé krytky, sekundární zajištění, spony a podobně), zjištění správné varianty kódování, test vodotěsnosti konektorů)</w:t>
      </w:r>
    </w:p>
    <w:p>
      <w:pPr>
        <w:pStyle w:val="P28"/>
        <w:framePr w:w="3921" w:h="1280" w:hRule="exact" w:wrap="none" w:vAnchor="page" w:hAnchor="margin" w:x="6800" w:y="11749"/>
        <w:rPr>
          <w:rStyle w:val="C3"/>
          <w:rtl w:val="0"/>
        </w:rPr>
      </w:pPr>
    </w:p>
    <w:p>
      <w:pPr>
        <w:pStyle w:val="P29"/>
        <w:framePr w:w="3839" w:h="1153" w:hRule="exact" w:wrap="none" w:vAnchor="page" w:hAnchor="margin" w:x="6856" w:y="11805"/>
        <w:rPr>
          <w:rStyle w:val="C21"/>
          <w:rtl w:val="0"/>
        </w:rPr>
      </w:pPr>
      <w:r>
        <w:rPr>
          <w:rStyle w:val="C21"/>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nebo 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s ústní obhajobou</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Revize, údržba a opravy instalovaných vysokofrekvenčních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 obhajobou</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s ústní obhajobou</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s ústní obhajobou</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vysokofrekvenčních koncových zařízení – anténář a alespoň minimálně 12 let praxe na pozici vyžadující odbornou způsobilost pro výkon činnosti na vysokofrekvenčních koncových zařízeních a 5 let pedagogické nebo lektorské činnosti, vykonávané souběžně s činností na vysokofrekvenčních koncových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vysokofrekvenční elektrotechniky, příjmu a vysílání vf signálu, bezpečnosti práce;</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a vf obvodů, katalogy součástek, kabelů a vodičů, právními předpisy stanovené formuláře pro záznamy, záznamové archy pro písemné ověření kritérií, papíry na poznámky, psací potřeby.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103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pro vykonání zkoušky</w:t>
      </w:r>
    </w:p>
    <w:p>
      <w:pPr>
        <w:keepNext w:val="0"/>
        <w:keepLines w:val="0"/>
        <w:framePr w:w="10766" w:h="80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elektrotechniku,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koncových vysokofrekvenčních zařízení, 31.7.2026 14:46:41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