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463CB" Type="http://schemas.openxmlformats.org/officeDocument/2006/relationships/officeDocument" Target="/word/document.xml" /><Relationship Id="coreR6EF463CB" Type="http://schemas.openxmlformats.org/package/2006/relationships/metadata/core-properties" Target="/docProps/core.xml" /><Relationship Id="customR6EF463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postupech řešení různých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vývojových etapách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Uchazeč/uchazečka musí být bez logopedické vady.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Bližší pokyny k realizaci a zkoušce vybraných odborných kompetencí a kritérií hodnocení: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pomoci dítěti/dětem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budou ověřena formou praktického řešení modelových situací, slovní popis a doplnění budou využity jen tam, kde není praktické předvedení možné. Uchazeč/uchazečka bude postupně řešit bez přípravy tři modelové situace (ze souboru minimálně 10 různých) s cílem zachránit dítěti život. Zadání bude co nejkonkrétnější, kde je to možné, autorizovaná osoba situaci nebude popisovat, ale předvede, nasimuluje. Jedná se např. o bezvědomí, epileptický záchvat, úrazy hlavy, popálení, opaření, tonutí, pády, zasažení elektrickým proudem, dušení, požití drobných předmětů, tonutí, zlomeniny a krvácení, otravy, poleptání, bodnutí hmyzem a alergické reakce, poranění domácím zvířetem, přehřátí. K předvedení řešení situace bude uchazeč/uchazečka využívat resuscitační model miminka nebo resuscitační model dítěte (juniora) a další zdravotnický materiál.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metod a forem pedagogické práce s ohledem na věk dítětě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autorizovaná osoba si připraví soubor minimálně 10 různých modelových situací, které budou zahrnovat různé věkové kategorie dítěte a různé počty dětí. Uchazeč/uchazečka si s využitím daných pomůcek (přírodniny, výtvarné potřeby, kostky, loutky, maňásek, knížky a loporela) předvede ukázku tvořivé nebo pohybové individuální a kolektivní aktivity (uchazeč/uchazečka si vylosuje jedno zadání, kde bude uveden počet dětí, věk dětí ). V každém zadání bude jedna tvořivá část a jedna pohybová část). Pomůcky si uchazeč/uchazečka vybere na místě.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uchazeč/uchazečka předvede jednu řízenou aktivitu výchovně vzdělávací práci s dětmi v dětském koutku, podle svého uvážení. Vysvětlí výchovné cíle ve vztahu ke zvolené věkové kategorii dítěte a časovou dotací.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musí být ověřeny všechny kompetence kvalifikačního standardu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celkový soubor otázek: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uchazeče/uchazečky: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uchazeč/uchazečka musí mít v souboru svých vylosovaných otázek zohledněno alespoň jednou každé kritérium (myslí se kritérium, u něhož jsou losované otázky způsobem ověření a v návaznosti na pokyn o tom, která kritéria je třeba u zkoušky splnit)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9283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5D3FD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