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2588B4" Type="http://schemas.openxmlformats.org/officeDocument/2006/relationships/officeDocument" Target="/word/document.xml" /><Relationship Id="coreR622588B4" Type="http://schemas.openxmlformats.org/package/2006/relationships/metadata/core-properties" Target="/docProps/core.xml" /><Relationship Id="customR622588B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Chůva pro dětské koutky (kód: 69-018-M)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Chůva pro dětské koutky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prevence úrazů a bezpečnosti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první pomoci dítěti/dětem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metod a forem pedagogické práce s ohledem na věk dítěte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Řešení situací v dětském kolektivu z pedagogicko-psychologického hlediska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Uplatňování znalostí o vývojových etapách dítěte v praxi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základních principů při práci chůvy pro dětské koutky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07.05.2014 do: 14.03.2020</w:t>
      </w:r>
    </w:p>
    <w:p>
      <w:pPr>
        <w:pStyle w:val="P21"/>
        <w:framePr w:w="7654" w:h="331" w:hRule="exact" w:wrap="none" w:vAnchor="page" w:hAnchor="margin" w:x="28" w:y="15940"/>
        <w:rPr>
          <w:rStyle w:val="C16"/>
          <w:rtl w:val="0"/>
        </w:rPr>
      </w:pPr>
      <w:r>
        <w:rPr>
          <w:rStyle w:val="C16"/>
          <w:rtl w:val="0"/>
        </w:rPr>
        <w:t>Chůva pro dětské koutky, 31.7.2026 11:27:49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prevence úrazů a bezpečnosti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zásady bezpečnosti a prevence úrazů v dětském koutku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Rozdělit zásady prevence do dvou hlavních skupin, charakterizovat je a uvést příklady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Poskytování první pomoci dítěti/dětem</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831" w:hRule="exact" w:wrap="none" w:vAnchor="page" w:hAnchor="margin" w:x="45" w:y="5875"/>
        <w:rPr>
          <w:rStyle w:val="C3"/>
          <w:rtl w:val="0"/>
        </w:rPr>
      </w:pPr>
    </w:p>
    <w:p>
      <w:pPr>
        <w:pStyle w:val="P13"/>
        <w:framePr w:w="6658" w:h="704" w:hRule="exact" w:wrap="none" w:vAnchor="page" w:hAnchor="margin" w:x="71" w:y="5931"/>
        <w:rPr>
          <w:rStyle w:val="C11"/>
          <w:rtl w:val="0"/>
        </w:rPr>
      </w:pPr>
      <w:r>
        <w:rPr>
          <w:rStyle w:val="C11"/>
          <w:rtl w:val="0"/>
        </w:rPr>
        <w:t>a) Vyhodnotit rychle nenadálou situaci (modelová situace např. bezvědomí, epileptický záchvat), určit druh, rozsah poranění či poškození a způsoby řešení</w:t>
      </w:r>
    </w:p>
    <w:p>
      <w:pPr>
        <w:pStyle w:val="P28"/>
        <w:framePr w:w="3921" w:h="831" w:hRule="exact" w:wrap="none" w:vAnchor="page" w:hAnchor="margin" w:x="6800" w:y="5875"/>
        <w:rPr>
          <w:rStyle w:val="C3"/>
          <w:rtl w:val="0"/>
        </w:rPr>
      </w:pPr>
    </w:p>
    <w:p>
      <w:pPr>
        <w:pStyle w:val="P29"/>
        <w:framePr w:w="3839" w:h="704"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Předvést rozhovor při volání na záchranný systém</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Praktické předvedení a ústní ověření</w:t>
      </w:r>
    </w:p>
    <w:p>
      <w:pPr>
        <w:pStyle w:val="P12"/>
        <w:framePr w:w="6710" w:h="831" w:hRule="exact" w:wrap="none" w:vAnchor="page" w:hAnchor="margin" w:x="45" w:y="7082"/>
        <w:rPr>
          <w:rStyle w:val="C3"/>
          <w:rtl w:val="0"/>
        </w:rPr>
      </w:pPr>
    </w:p>
    <w:p>
      <w:pPr>
        <w:pStyle w:val="P13"/>
        <w:framePr w:w="6658" w:h="704" w:hRule="exact" w:wrap="none" w:vAnchor="page" w:hAnchor="margin" w:x="71" w:y="7138"/>
        <w:rPr>
          <w:rStyle w:val="C11"/>
          <w:rtl w:val="0"/>
        </w:rPr>
      </w:pPr>
      <w:r>
        <w:rPr>
          <w:rStyle w:val="C11"/>
          <w:rtl w:val="0"/>
        </w:rPr>
        <w:t>c) Vysvětlit a předvést správný postup při neodkladné resuscitaci dítěte ve vybrané věkové kategorii a uvést rozdíly v postupech neodkladné resuscitace v různých věkových kategoriích</w:t>
      </w:r>
    </w:p>
    <w:p>
      <w:pPr>
        <w:pStyle w:val="P28"/>
        <w:framePr w:w="3921" w:h="831" w:hRule="exact" w:wrap="none" w:vAnchor="page" w:hAnchor="margin" w:x="6800" w:y="7082"/>
        <w:rPr>
          <w:rStyle w:val="C3"/>
          <w:rtl w:val="0"/>
        </w:rPr>
      </w:pPr>
    </w:p>
    <w:p>
      <w:pPr>
        <w:pStyle w:val="P29"/>
        <w:framePr w:w="3839" w:h="704" w:hRule="exact" w:wrap="none" w:vAnchor="page" w:hAnchor="margin" w:x="6856" w:y="7138"/>
        <w:rPr>
          <w:rStyle w:val="C21"/>
          <w:rtl w:val="0"/>
        </w:rPr>
      </w:pPr>
      <w:r>
        <w:rPr>
          <w:rStyle w:val="C21"/>
          <w:rtl w:val="0"/>
        </w:rPr>
        <w:t>Praktické předvedení a ústní ověření</w:t>
      </w:r>
    </w:p>
    <w:p>
      <w:pPr>
        <w:pStyle w:val="P16"/>
        <w:framePr w:w="6710" w:h="831" w:hRule="exact" w:wrap="none" w:vAnchor="page" w:hAnchor="margin" w:x="45" w:y="7913"/>
        <w:rPr>
          <w:rStyle w:val="C3"/>
          <w:rtl w:val="0"/>
        </w:rPr>
      </w:pPr>
    </w:p>
    <w:p>
      <w:pPr>
        <w:pStyle w:val="P17"/>
        <w:framePr w:w="6658" w:h="704" w:hRule="exact" w:wrap="none" w:vAnchor="page" w:hAnchor="margin" w:x="71" w:y="7969"/>
        <w:rPr>
          <w:rStyle w:val="C13"/>
          <w:rtl w:val="0"/>
        </w:rPr>
      </w:pPr>
      <w:r>
        <w:rPr>
          <w:rStyle w:val="C13"/>
          <w:rtl w:val="0"/>
        </w:rPr>
        <w:t>d) Vysvětlit a předvést správný postup poskytnutí první pomoci při nejčastějších úrazech dítěte ve všech věkových kategoriích tj. např. úrazy hlavy, popálení, opaření, pády, dušení, ošetření krvácení, zlomenin</w:t>
      </w:r>
    </w:p>
    <w:p>
      <w:pPr>
        <w:pStyle w:val="P30"/>
        <w:framePr w:w="3921" w:h="831" w:hRule="exact" w:wrap="none" w:vAnchor="page" w:hAnchor="margin" w:x="6800" w:y="7913"/>
        <w:rPr>
          <w:rStyle w:val="C3"/>
          <w:rtl w:val="0"/>
        </w:rPr>
      </w:pPr>
    </w:p>
    <w:p>
      <w:pPr>
        <w:pStyle w:val="P31"/>
        <w:framePr w:w="3839" w:h="704" w:hRule="exact" w:wrap="none" w:vAnchor="page" w:hAnchor="margin" w:x="6856" w:y="7969"/>
        <w:rPr>
          <w:rStyle w:val="C22"/>
          <w:rtl w:val="0"/>
        </w:rPr>
      </w:pPr>
      <w:r>
        <w:rPr>
          <w:rStyle w:val="C22"/>
          <w:rtl w:val="0"/>
        </w:rPr>
        <w:t>Praktické předvedení a ústní ověření</w:t>
      </w:r>
    </w:p>
    <w:p>
      <w:pPr>
        <w:pStyle w:val="P32"/>
        <w:framePr w:w="10710" w:h="248" w:hRule="exact" w:wrap="none" w:vAnchor="page" w:hAnchor="margin" w:x="28" w:y="8858"/>
        <w:rPr>
          <w:rStyle w:val="C23"/>
          <w:rtl w:val="0"/>
        </w:rPr>
      </w:pPr>
      <w:r>
        <w:rPr>
          <w:rStyle w:val="C23"/>
          <w:rtl w:val="0"/>
        </w:rPr>
        <w:t>Je třeba splnit všechna kritéria.</w:t>
      </w:r>
    </w:p>
    <w:p>
      <w:pPr>
        <w:pStyle w:val="P23"/>
        <w:framePr w:w="10710" w:h="340" w:hRule="exact" w:wrap="none" w:vAnchor="page" w:hAnchor="margin" w:x="28" w:y="9293"/>
        <w:rPr>
          <w:rStyle w:val="C18"/>
          <w:rtl w:val="0"/>
        </w:rPr>
      </w:pPr>
      <w:r>
        <w:rPr>
          <w:rStyle w:val="C18"/>
          <w:rtl w:val="0"/>
        </w:rPr>
        <w:t>Uplatňování metod a forem pedagogické práce s ohledem na věk dítěte</w:t>
      </w:r>
    </w:p>
    <w:p>
      <w:pPr>
        <w:pStyle w:val="P24"/>
        <w:framePr w:w="6713" w:h="376" w:hRule="exact" w:wrap="none" w:vAnchor="page" w:hAnchor="margin" w:x="45" w:y="9733"/>
        <w:rPr>
          <w:rStyle w:val="C3"/>
          <w:rtl w:val="0"/>
        </w:rPr>
      </w:pPr>
    </w:p>
    <w:p>
      <w:pPr>
        <w:pStyle w:val="P25"/>
        <w:framePr w:w="6661" w:h="249" w:hRule="exact" w:wrap="none" w:vAnchor="page" w:hAnchor="margin" w:x="71" w:y="9804"/>
        <w:rPr>
          <w:rStyle w:val="C19"/>
          <w:rtl w:val="0"/>
        </w:rPr>
      </w:pPr>
      <w:r>
        <w:rPr>
          <w:rStyle w:val="C19"/>
          <w:rtl w:val="0"/>
        </w:rPr>
        <w:t>Kritéria hodnocení</w:t>
      </w:r>
    </w:p>
    <w:p>
      <w:pPr>
        <w:pStyle w:val="P26"/>
        <w:framePr w:w="3918" w:h="376" w:hRule="exact" w:wrap="none" w:vAnchor="page" w:hAnchor="margin" w:x="6803" w:y="9733"/>
        <w:rPr>
          <w:rStyle w:val="C3"/>
          <w:rtl w:val="0"/>
        </w:rPr>
      </w:pPr>
    </w:p>
    <w:p>
      <w:pPr>
        <w:pStyle w:val="P27"/>
        <w:framePr w:w="3836" w:h="249" w:hRule="exact" w:wrap="none" w:vAnchor="page" w:hAnchor="margin" w:x="6859" w:y="9804"/>
        <w:rPr>
          <w:rStyle w:val="C20"/>
          <w:rtl w:val="0"/>
        </w:rPr>
      </w:pPr>
      <w:r>
        <w:rPr>
          <w:rStyle w:val="C20"/>
          <w:rtl w:val="0"/>
        </w:rPr>
        <w:t>Způsoby ověření</w:t>
      </w:r>
    </w:p>
    <w:p>
      <w:pPr>
        <w:pStyle w:val="P12"/>
        <w:framePr w:w="6710" w:h="831" w:hRule="exact" w:wrap="none" w:vAnchor="page" w:hAnchor="margin" w:x="45" w:y="10109"/>
        <w:rPr>
          <w:rStyle w:val="C3"/>
          <w:rtl w:val="0"/>
        </w:rPr>
      </w:pPr>
    </w:p>
    <w:p>
      <w:pPr>
        <w:pStyle w:val="P13"/>
        <w:framePr w:w="6658" w:h="704" w:hRule="exact" w:wrap="none" w:vAnchor="page" w:hAnchor="margin" w:x="71" w:y="10165"/>
        <w:rPr>
          <w:rStyle w:val="C11"/>
          <w:rtl w:val="0"/>
        </w:rPr>
      </w:pPr>
      <w:r>
        <w:rPr>
          <w:rStyle w:val="C11"/>
          <w:rtl w:val="0"/>
        </w:rPr>
        <w:t>a) Připravit ukázku individuálních a kolektivních aktivit tvořivých nebo pohybových nebo didaktických a vysvětlit jejich principy v souvislosti s hlídáním dětí v dětském koutku</w:t>
      </w:r>
    </w:p>
    <w:p>
      <w:pPr>
        <w:pStyle w:val="P28"/>
        <w:framePr w:w="3921" w:h="831" w:hRule="exact" w:wrap="none" w:vAnchor="page" w:hAnchor="margin" w:x="6800" w:y="10109"/>
        <w:rPr>
          <w:rStyle w:val="C3"/>
          <w:rtl w:val="0"/>
        </w:rPr>
      </w:pPr>
    </w:p>
    <w:p>
      <w:pPr>
        <w:pStyle w:val="P29"/>
        <w:framePr w:w="3839" w:h="704" w:hRule="exact" w:wrap="none" w:vAnchor="page" w:hAnchor="margin" w:x="6856" w:y="10165"/>
        <w:rPr>
          <w:rStyle w:val="C21"/>
          <w:rtl w:val="0"/>
        </w:rPr>
      </w:pPr>
      <w:r>
        <w:rPr>
          <w:rStyle w:val="C21"/>
          <w:rtl w:val="0"/>
        </w:rPr>
        <w:t>Praktické předvedení a ústní ověření</w:t>
      </w:r>
    </w:p>
    <w:p>
      <w:pPr>
        <w:pStyle w:val="P16"/>
        <w:framePr w:w="6710" w:h="831" w:hRule="exact" w:wrap="none" w:vAnchor="page" w:hAnchor="margin" w:x="45" w:y="10940"/>
        <w:rPr>
          <w:rStyle w:val="C3"/>
          <w:rtl w:val="0"/>
        </w:rPr>
      </w:pPr>
    </w:p>
    <w:p>
      <w:pPr>
        <w:pStyle w:val="P17"/>
        <w:framePr w:w="6658" w:h="704" w:hRule="exact" w:wrap="none" w:vAnchor="page" w:hAnchor="margin" w:x="71" w:y="10996"/>
        <w:rPr>
          <w:rStyle w:val="C13"/>
          <w:rtl w:val="0"/>
        </w:rPr>
      </w:pPr>
      <w:r>
        <w:rPr>
          <w:rStyle w:val="C13"/>
          <w:rtl w:val="0"/>
        </w:rPr>
        <w:t>b) Vysvětlit principy výběru vhodné hračky podle věku dítěte, uvést příklady (např. estetičnost, hygieničnost, aktivní manipulace, prostor pro tvořivost, hračka, která s dítětem roste)</w:t>
      </w:r>
    </w:p>
    <w:p>
      <w:pPr>
        <w:pStyle w:val="P30"/>
        <w:framePr w:w="3921" w:h="831" w:hRule="exact" w:wrap="none" w:vAnchor="page" w:hAnchor="margin" w:x="6800" w:y="10940"/>
        <w:rPr>
          <w:rStyle w:val="C3"/>
          <w:rtl w:val="0"/>
        </w:rPr>
      </w:pPr>
    </w:p>
    <w:p>
      <w:pPr>
        <w:pStyle w:val="P31"/>
        <w:framePr w:w="3839" w:h="704" w:hRule="exact" w:wrap="none" w:vAnchor="page" w:hAnchor="margin" w:x="6856" w:y="10996"/>
        <w:rPr>
          <w:rStyle w:val="C22"/>
          <w:rtl w:val="0"/>
        </w:rPr>
      </w:pPr>
      <w:r>
        <w:rPr>
          <w:rStyle w:val="C22"/>
          <w:rtl w:val="0"/>
        </w:rPr>
        <w:t>Ústní ověření</w:t>
      </w:r>
    </w:p>
    <w:p>
      <w:pPr>
        <w:pStyle w:val="P12"/>
        <w:framePr w:w="6710" w:h="831" w:hRule="exact" w:wrap="none" w:vAnchor="page" w:hAnchor="margin" w:x="45" w:y="11771"/>
        <w:rPr>
          <w:rStyle w:val="C3"/>
          <w:rtl w:val="0"/>
        </w:rPr>
      </w:pPr>
    </w:p>
    <w:p>
      <w:pPr>
        <w:pStyle w:val="P13"/>
        <w:framePr w:w="6658" w:h="704" w:hRule="exact" w:wrap="none" w:vAnchor="page" w:hAnchor="margin" w:x="71" w:y="11827"/>
        <w:rPr>
          <w:rStyle w:val="C11"/>
          <w:rtl w:val="0"/>
        </w:rPr>
      </w:pPr>
      <w:r>
        <w:rPr>
          <w:rStyle w:val="C11"/>
          <w:rtl w:val="0"/>
        </w:rPr>
        <w:t>c) Předvést aktivitu výchovně-vzdělávací práce ve vztahu ke zvolené věkové kategorii dítěte (např. vyprávět úryvek pohádky, přednes říkanky s pohybem, pohybová aktivita, výtvarná, hudební aktivita)</w:t>
      </w:r>
    </w:p>
    <w:p>
      <w:pPr>
        <w:pStyle w:val="P28"/>
        <w:framePr w:w="3921" w:h="831" w:hRule="exact" w:wrap="none" w:vAnchor="page" w:hAnchor="margin" w:x="6800" w:y="11771"/>
        <w:rPr>
          <w:rStyle w:val="C3"/>
          <w:rtl w:val="0"/>
        </w:rPr>
      </w:pPr>
    </w:p>
    <w:p>
      <w:pPr>
        <w:pStyle w:val="P29"/>
        <w:framePr w:w="3839" w:h="704" w:hRule="exact" w:wrap="none" w:vAnchor="page" w:hAnchor="margin" w:x="6856" w:y="11827"/>
        <w:rPr>
          <w:rStyle w:val="C21"/>
          <w:rtl w:val="0"/>
        </w:rPr>
      </w:pPr>
      <w:r>
        <w:rPr>
          <w:rStyle w:val="C21"/>
          <w:rtl w:val="0"/>
        </w:rPr>
        <w:t>Praktické předvedení</w:t>
      </w:r>
    </w:p>
    <w:p>
      <w:pPr>
        <w:pStyle w:val="P32"/>
        <w:framePr w:w="10710" w:h="248" w:hRule="exact" w:wrap="none" w:vAnchor="page" w:hAnchor="margin" w:x="28" w:y="127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31.7.2026 11:27:49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Řešení situací v dětském kolektivu z pedagogicko-psychologického hlediska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možné způsoby chování dětí v dětském koutku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asertivní postupy při předcházení a eliminování nestandardních reakcí dítěte v dětském koutku (záporné emoce – negace, vztek, dětská agresivita)</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Popsat strategii při vytváření příznivých podmínek při práci s dětmi v dětském koutku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možné výchovné hranice při práci se skupinou v dětském koutku a vysvětlit principy motivace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Uplatňování znalostí o vývojových etapách dítěte v praxi</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Charakterizovat jednotlivá stadia dětského vývoje v souvislosti s výkonem práce chůvy v dětském koutku</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16"/>
        <w:framePr w:w="6710" w:h="607" w:hRule="exact" w:wrap="none" w:vAnchor="page" w:hAnchor="margin" w:x="45" w:y="7362"/>
        <w:rPr>
          <w:rStyle w:val="C3"/>
          <w:rtl w:val="0"/>
        </w:rPr>
      </w:pPr>
    </w:p>
    <w:p>
      <w:pPr>
        <w:pStyle w:val="P17"/>
        <w:framePr w:w="6658" w:h="480" w:hRule="exact" w:wrap="none" w:vAnchor="page" w:hAnchor="margin" w:x="71" w:y="7418"/>
        <w:rPr>
          <w:rStyle w:val="C13"/>
          <w:rtl w:val="0"/>
        </w:rPr>
      </w:pPr>
      <w:r>
        <w:rPr>
          <w:rStyle w:val="C13"/>
          <w:rtl w:val="0"/>
        </w:rPr>
        <w:t>b) Charakterizovat období separačního syndromu dítěte a uvést odpovídající přístup k dítěti v tomto období</w:t>
      </w:r>
    </w:p>
    <w:p>
      <w:pPr>
        <w:pStyle w:val="P30"/>
        <w:framePr w:w="3921" w:h="607" w:hRule="exact" w:wrap="none" w:vAnchor="page" w:hAnchor="margin" w:x="6800" w:y="7362"/>
        <w:rPr>
          <w:rStyle w:val="C3"/>
          <w:rtl w:val="0"/>
        </w:rPr>
      </w:pPr>
    </w:p>
    <w:p>
      <w:pPr>
        <w:pStyle w:val="P31"/>
        <w:framePr w:w="3839" w:h="480" w:hRule="exact" w:wrap="none" w:vAnchor="page" w:hAnchor="margin" w:x="6856" w:y="7418"/>
        <w:rPr>
          <w:rStyle w:val="C22"/>
          <w:rtl w:val="0"/>
        </w:rPr>
      </w:pPr>
      <w:r>
        <w:rPr>
          <w:rStyle w:val="C22"/>
          <w:rtl w:val="0"/>
        </w:rPr>
        <w:t>Ústní ověření</w:t>
      </w:r>
    </w:p>
    <w:p>
      <w:pPr>
        <w:pStyle w:val="P32"/>
        <w:framePr w:w="10710" w:h="248" w:hRule="exact" w:wrap="none" w:vAnchor="page" w:hAnchor="margin" w:x="28" w:y="8082"/>
        <w:rPr>
          <w:rStyle w:val="C23"/>
          <w:rtl w:val="0"/>
        </w:rPr>
      </w:pPr>
      <w:r>
        <w:rPr>
          <w:rStyle w:val="C23"/>
          <w:rtl w:val="0"/>
        </w:rPr>
        <w:t>Je třeba splnit obě kritéria.</w:t>
      </w:r>
    </w:p>
    <w:p>
      <w:pPr>
        <w:pStyle w:val="P23"/>
        <w:framePr w:w="10710" w:h="340" w:hRule="exact" w:wrap="none" w:vAnchor="page" w:hAnchor="margin" w:x="28" w:y="8518"/>
        <w:rPr>
          <w:rStyle w:val="C18"/>
          <w:rtl w:val="0"/>
        </w:rPr>
      </w:pPr>
      <w:r>
        <w:rPr>
          <w:rStyle w:val="C18"/>
          <w:rtl w:val="0"/>
        </w:rPr>
        <w:t>Dodržování základních principů při práci chůvy pro dětské koutky</w:t>
      </w:r>
    </w:p>
    <w:p>
      <w:pPr>
        <w:pStyle w:val="P24"/>
        <w:framePr w:w="6713" w:h="376" w:hRule="exact" w:wrap="none" w:vAnchor="page" w:hAnchor="margin" w:x="45" w:y="8957"/>
        <w:rPr>
          <w:rStyle w:val="C3"/>
          <w:rtl w:val="0"/>
        </w:rPr>
      </w:pPr>
    </w:p>
    <w:p>
      <w:pPr>
        <w:pStyle w:val="P25"/>
        <w:framePr w:w="6661" w:h="249" w:hRule="exact" w:wrap="none" w:vAnchor="page" w:hAnchor="margin" w:x="71" w:y="9028"/>
        <w:rPr>
          <w:rStyle w:val="C19"/>
          <w:rtl w:val="0"/>
        </w:rPr>
      </w:pPr>
      <w:r>
        <w:rPr>
          <w:rStyle w:val="C19"/>
          <w:rtl w:val="0"/>
        </w:rPr>
        <w:t>Kritéria hodnocení</w:t>
      </w:r>
    </w:p>
    <w:p>
      <w:pPr>
        <w:pStyle w:val="P26"/>
        <w:framePr w:w="3918" w:h="376" w:hRule="exact" w:wrap="none" w:vAnchor="page" w:hAnchor="margin" w:x="6803" w:y="8957"/>
        <w:rPr>
          <w:rStyle w:val="C3"/>
          <w:rtl w:val="0"/>
        </w:rPr>
      </w:pPr>
    </w:p>
    <w:p>
      <w:pPr>
        <w:pStyle w:val="P27"/>
        <w:framePr w:w="3836" w:h="249" w:hRule="exact" w:wrap="none" w:vAnchor="page" w:hAnchor="margin" w:x="6859" w:y="9028"/>
        <w:rPr>
          <w:rStyle w:val="C20"/>
          <w:rtl w:val="0"/>
        </w:rPr>
      </w:pPr>
      <w:r>
        <w:rPr>
          <w:rStyle w:val="C20"/>
          <w:rtl w:val="0"/>
        </w:rPr>
        <w:t>Způsoby ověření</w:t>
      </w:r>
    </w:p>
    <w:p>
      <w:pPr>
        <w:pStyle w:val="P12"/>
        <w:framePr w:w="6710" w:h="376" w:hRule="exact" w:wrap="none" w:vAnchor="page" w:hAnchor="margin" w:x="45" w:y="9333"/>
        <w:rPr>
          <w:rStyle w:val="C3"/>
          <w:rtl w:val="0"/>
        </w:rPr>
      </w:pPr>
    </w:p>
    <w:p>
      <w:pPr>
        <w:pStyle w:val="P13"/>
        <w:framePr w:w="6658" w:h="249" w:hRule="exact" w:wrap="none" w:vAnchor="page" w:hAnchor="margin" w:x="71" w:y="9389"/>
        <w:rPr>
          <w:rStyle w:val="C11"/>
          <w:rtl w:val="0"/>
        </w:rPr>
      </w:pPr>
      <w:r>
        <w:rPr>
          <w:rStyle w:val="C11"/>
          <w:rtl w:val="0"/>
        </w:rPr>
        <w:t>a) Vysvětlit zásady správného chování chůvy při výkonu její práce</w:t>
      </w:r>
    </w:p>
    <w:p>
      <w:pPr>
        <w:pStyle w:val="P28"/>
        <w:framePr w:w="3921" w:h="376" w:hRule="exact" w:wrap="none" w:vAnchor="page" w:hAnchor="margin" w:x="6800" w:y="9333"/>
        <w:rPr>
          <w:rStyle w:val="C3"/>
          <w:rtl w:val="0"/>
        </w:rPr>
      </w:pPr>
    </w:p>
    <w:p>
      <w:pPr>
        <w:pStyle w:val="P29"/>
        <w:framePr w:w="3839" w:h="249" w:hRule="exact" w:wrap="none" w:vAnchor="page" w:hAnchor="margin" w:x="6856" w:y="9389"/>
        <w:rPr>
          <w:rStyle w:val="C21"/>
          <w:rtl w:val="0"/>
        </w:rPr>
      </w:pPr>
      <w:r>
        <w:rPr>
          <w:rStyle w:val="C21"/>
          <w:rtl w:val="0"/>
        </w:rPr>
        <w:t>Ústní ověření</w:t>
      </w:r>
    </w:p>
    <w:p>
      <w:pPr>
        <w:pStyle w:val="P16"/>
        <w:framePr w:w="6710" w:h="607" w:hRule="exact" w:wrap="none" w:vAnchor="page" w:hAnchor="margin" w:x="45" w:y="9710"/>
        <w:rPr>
          <w:rStyle w:val="C3"/>
          <w:rtl w:val="0"/>
        </w:rPr>
      </w:pPr>
    </w:p>
    <w:p>
      <w:pPr>
        <w:pStyle w:val="P17"/>
        <w:framePr w:w="6658" w:h="480" w:hRule="exact" w:wrap="none" w:vAnchor="page" w:hAnchor="margin" w:x="71" w:y="9766"/>
        <w:rPr>
          <w:rStyle w:val="C13"/>
          <w:rtl w:val="0"/>
        </w:rPr>
      </w:pPr>
      <w:r>
        <w:rPr>
          <w:rStyle w:val="C13"/>
          <w:rtl w:val="0"/>
        </w:rPr>
        <w:t>b) Charakterizovat základní principy hygieny a osobního vystupování se zaměřením na diskrétnost a loajalitu při práci chůvy</w:t>
      </w:r>
    </w:p>
    <w:p>
      <w:pPr>
        <w:pStyle w:val="P30"/>
        <w:framePr w:w="3921" w:h="607" w:hRule="exact" w:wrap="none" w:vAnchor="page" w:hAnchor="margin" w:x="6800" w:y="9710"/>
        <w:rPr>
          <w:rStyle w:val="C3"/>
          <w:rtl w:val="0"/>
        </w:rPr>
      </w:pPr>
    </w:p>
    <w:p>
      <w:pPr>
        <w:pStyle w:val="P31"/>
        <w:framePr w:w="3839" w:h="480" w:hRule="exact" w:wrap="none" w:vAnchor="page" w:hAnchor="margin" w:x="6856" w:y="9766"/>
        <w:rPr>
          <w:rStyle w:val="C22"/>
          <w:rtl w:val="0"/>
        </w:rPr>
      </w:pPr>
      <w:r>
        <w:rPr>
          <w:rStyle w:val="C22"/>
          <w:rtl w:val="0"/>
        </w:rPr>
        <w:t>Ústní ověření</w:t>
      </w:r>
    </w:p>
    <w:p>
      <w:pPr>
        <w:pStyle w:val="P12"/>
        <w:framePr w:w="6710" w:h="607" w:hRule="exact" w:wrap="none" w:vAnchor="page" w:hAnchor="margin" w:x="45" w:y="10317"/>
        <w:rPr>
          <w:rStyle w:val="C3"/>
          <w:rtl w:val="0"/>
        </w:rPr>
      </w:pPr>
    </w:p>
    <w:p>
      <w:pPr>
        <w:pStyle w:val="P13"/>
        <w:framePr w:w="6658" w:h="480" w:hRule="exact" w:wrap="none" w:vAnchor="page" w:hAnchor="margin" w:x="71" w:y="10373"/>
        <w:rPr>
          <w:rStyle w:val="C11"/>
          <w:rtl w:val="0"/>
        </w:rPr>
      </w:pPr>
      <w:r>
        <w:rPr>
          <w:rStyle w:val="C11"/>
          <w:rtl w:val="0"/>
        </w:rPr>
        <w:t>c) Popsat organizaci práce v dětském koutku, např. systém evidence hlídaných dětí, administrativa, plánování aktivit</w:t>
      </w:r>
    </w:p>
    <w:p>
      <w:pPr>
        <w:pStyle w:val="P28"/>
        <w:framePr w:w="3921" w:h="607" w:hRule="exact" w:wrap="none" w:vAnchor="page" w:hAnchor="margin" w:x="6800" w:y="10317"/>
        <w:rPr>
          <w:rStyle w:val="C3"/>
          <w:rtl w:val="0"/>
        </w:rPr>
      </w:pPr>
    </w:p>
    <w:p>
      <w:pPr>
        <w:pStyle w:val="P29"/>
        <w:framePr w:w="3839" w:h="480" w:hRule="exact" w:wrap="none" w:vAnchor="page" w:hAnchor="margin" w:x="6856" w:y="1037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d) Prokázat základní znalost v pracovněprávních vztazích, které chůva může uplatnit v profesi chůva pro dětské koutky a vymezit zodpovědnost při hlídání dětí v dětském koutku</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Ústní ověření</w:t>
      </w:r>
    </w:p>
    <w:p>
      <w:pPr>
        <w:pStyle w:val="P32"/>
        <w:framePr w:w="10710" w:h="248" w:hRule="exact" w:wrap="none" w:vAnchor="page" w:hAnchor="margin" w:x="28" w:y="118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Chůva pro dětské koutky, 31.7.2026 11:27:49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0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http://katalog.nsp.cz/karta_p.aspx?id_jp=101721&amp;kod_sm1=20)</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musí být bez logopedické vady.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si připraví pro ověřování kritérií ústní nebo praktickou formou soubor modelových situací.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ústní ověřování bude realizováno formou losování otázek, je nutné dodržet následující pravidla:</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single"/>
          <w:shd w:val="clear" w:color="auto" w:fill="auto"/>
          <w:vertAlign w:val="baseline"/>
          <w:lang/>
        </w:rPr>
        <w:t>Pravidla pro aplikaci ústního ověřování formou vylosovaných otázek</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Při každé zkoušce</w:t>
      </w:r>
      <w:r>
        <w:rPr>
          <w:rFonts w:ascii="Arial" w:cs="Arial" w:hAnsi="Arial" w:eastAsia="Arial"/>
          <w:b w:val="1"/>
          <w:i w:val="1"/>
          <w:caps w:val="0"/>
          <w:strike w:val="0"/>
          <w:noProof w:val="0"/>
          <w:vanish w:val="0"/>
          <w:color w:val="auto"/>
          <w:sz w:val="20"/>
          <w:u w:val="none"/>
          <w:shd w:val="clear" w:color="auto" w:fill="auto"/>
          <w:vertAlign w:val="baseline"/>
          <w:lang/>
        </w:rPr>
        <w:t xml:space="preserve"> musí být ověřeny všechny kompetence kvalifikačního standardu</w:t>
      </w:r>
      <w:r>
        <w:rPr>
          <w:rFonts w:ascii="Arial" w:cs="Arial" w:hAnsi="Arial" w:eastAsia="Arial"/>
          <w:b w:val="0"/>
          <w:i w:val="1"/>
          <w:caps w:val="0"/>
          <w:strike w:val="0"/>
          <w:noProof w:val="0"/>
          <w:vanish w:val="0"/>
          <w:color w:val="auto"/>
          <w:sz w:val="20"/>
          <w:u w:val="none"/>
          <w:shd w:val="clear" w:color="auto" w:fill="auto"/>
          <w:vertAlign w:val="baseline"/>
          <w:lang/>
        </w:rPr>
        <w:t>. To znamená, že v případě, kdy se některé kompetence nebo kritéria ověřují pomocí losovaných otázek, musí být splněny následující dvě podmínky:</w:t>
      </w:r>
    </w:p>
    <w:p>
      <w:pPr>
        <w:keepNext w:val="0"/>
        <w:keepLines w:val="1"/>
        <w:framePr w:w="10766" w:h="572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Pro celkový soubor otázek: </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Každé kritérium je zohledněno v několika otázkách. </w:t>
      </w:r>
    </w:p>
    <w:p>
      <w:pPr>
        <w:keepNext w:val="0"/>
        <w:keepLines w:val="1"/>
        <w:framePr w:w="10766" w:h="572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Pro soubor vylosovaných otázek konkrétního uchazeče:</w:t>
      </w:r>
    </w:p>
    <w:p>
      <w:pPr>
        <w:keepNext w:val="0"/>
        <w:keepLines w:val="0"/>
        <w:framePr w:w="10766" w:h="572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2308" w:hRule="exact" w:wrap="none" w:vAnchor="page" w:hAnchor="margin" w:x="0" w:y="8782"/>
        <w:rPr>
          <w:rStyle w:val="C3"/>
          <w:rtl w:val="0"/>
        </w:rPr>
      </w:pPr>
    </w:p>
    <w:p>
      <w:pPr>
        <w:pStyle w:val="P35"/>
        <w:framePr w:w="10710" w:h="340" w:hRule="exact" w:wrap="none" w:vAnchor="page" w:hAnchor="margin" w:x="28" w:y="8782"/>
        <w:rPr>
          <w:rStyle w:val="C25"/>
          <w:rtl w:val="0"/>
        </w:rPr>
      </w:pPr>
      <w:r>
        <w:rPr>
          <w:rStyle w:val="C25"/>
          <w:rtl w:val="0"/>
        </w:rPr>
        <w:t>Výsledné hodnocení</w:t>
      </w:r>
    </w:p>
    <w:p>
      <w:pPr>
        <w:keepNext w:val="0"/>
        <w:keepLines w:val="0"/>
        <w:framePr w:w="10766" w:h="1967"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91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778"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Počet zkoušejících</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pokud nemá požadované vzdělání k výkonu lékařského nebo nelékařského zdravotnického povolání bez odborného dohledu, musí zajistit, aby byla při zkoušce přítomna osoba s tímto vzděláním, která není členem zkušební komise.</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dětské koutky, 31.7.2026 11:27:49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pedagogiky předškolního věku nebo speciální pedagogiky nebo andragogiky nebo musí splňovat požadavky dle zákona 563/2004 Sb., o pedagogických pracovnících v platném znění, § 6, odstavec 1, písmena c) nebo d) a alespoň 5 let odborné praxe v oblasti práce s dětmi ve věku od narození do zahájení povinné školní docházky v předškolním zařízení nebo v rámci podnikatelské činnosti, kdy zajišťuje hlídání dětí v domácnosti, z toho minimálně jeden rok v období posledních dvou let před podáním žádosti o udělení autorizace.</w:t>
      </w:r>
    </w:p>
    <w:p>
      <w:pPr>
        <w:keepNext w:val="0"/>
        <w:keepLines w:val="1"/>
        <w:framePr w:w="10766" w:h="9220"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pedagogiku předškolního věku nebo speciální pedagogiku nebo andragogiku nebo musí splňovat požadavky dle zákona 563/2004 Sb., o pedagogických pracovnících v platném znění, § 6, odstavec 1, písmena a) nebo b) a alespoň 5 let odborné praxe v oblasti práce s dětmi ve věku od narození do zahájení povinné školní docházky v předškolním zařízení nebo v rámci podnikatelské činnosti, kdy zajišťuje hlídání dětí v domácnosti, nebo na pozici školního inspektora pro předškolní vzdělávání, z toho minimálně jeden rok v období posledních dvou let před podáním žádosti o udělení autorizace.</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Nelékařský zdravotnický pracovník musí mít odbornou způsobilost pro výkon povolání všeobecné (zdravotní) sestry, porodní asistentky (ženské sestry) nebo zdravotnického záchranáře bez odborného dohledu a alespoň 5 let výkonu povolání ve zdravotnictví, z toho minimálně 1 rok v období posledních dvou let před podáním žádosti o udělení autorizace.</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220" w:hRule="exact" w:wrap="none" w:vAnchor="page" w:hAnchor="margin" w:x="0" w:y="270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2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Chůva pro dětské koutky, 31.7.2026 11:27:49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0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•klidná místnost,</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•didaktické pomůcky (např.: hračky, stavebnice, CD přehrávač, knížky),</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•výtvarné potřeby,</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pro nastavení modelové situace při poskytování první pomoci (např.: zásuvka s elektrospotřebičem, mobilní telefon s příslušenstvím),</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•figurína dítěte určená k nácviku a předvedení resuscitace,</w:t>
      </w:r>
    </w:p>
    <w:p>
      <w:pPr>
        <w:keepNext w:val="0"/>
        <w:keepLines w:val="1"/>
        <w:framePr w:w="10766" w:h="3465"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•zdravotnický materiál nutný pro poskytnutí první pomoci.</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keepNext w:val="0"/>
        <w:keepLines w:val="0"/>
        <w:framePr w:w="10766" w:h="346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6186"/>
        <w:rPr>
          <w:rStyle w:val="C3"/>
          <w:rtl w:val="0"/>
        </w:rPr>
      </w:pPr>
    </w:p>
    <w:p>
      <w:pPr>
        <w:pStyle w:val="P35"/>
        <w:framePr w:w="10710" w:h="340" w:hRule="exact" w:wrap="none" w:vAnchor="page" w:hAnchor="margin" w:x="28" w:y="6186"/>
        <w:rPr>
          <w:rStyle w:val="C25"/>
          <w:rtl w:val="0"/>
        </w:rPr>
      </w:pPr>
      <w:r>
        <w:rPr>
          <w:rStyle w:val="C25"/>
          <w:rtl w:val="0"/>
        </w:rPr>
        <w:t>Doba přípravy na zkoušku</w:t>
      </w:r>
    </w:p>
    <w:p>
      <w:pPr>
        <w:keepNext w:val="0"/>
        <w:keepLines w:val="0"/>
        <w:framePr w:w="10766" w:h="1271"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keepNext w:val="0"/>
        <w:keepLines w:val="0"/>
        <w:framePr w:w="10766" w:h="1271" w:hRule="exact" w:wrap="none" w:vAnchor="page" w:hAnchor="margin" w:x="0" w:y="6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8025"/>
        <w:rPr>
          <w:rStyle w:val="C3"/>
          <w:rtl w:val="0"/>
        </w:rPr>
      </w:pPr>
    </w:p>
    <w:p>
      <w:pPr>
        <w:pStyle w:val="P35"/>
        <w:framePr w:w="10710" w:h="340" w:hRule="exact" w:wrap="none" w:vAnchor="page" w:hAnchor="margin" w:x="28" w:y="8025"/>
        <w:rPr>
          <w:rStyle w:val="C25"/>
          <w:rtl w:val="0"/>
        </w:rPr>
      </w:pPr>
      <w:r>
        <w:rPr>
          <w:rStyle w:val="C25"/>
          <w:rtl w:val="0"/>
        </w:rPr>
        <w:t>Doba pro vykonání zkoušky</w:t>
      </w:r>
    </w:p>
    <w:p>
      <w:pPr>
        <w:keepNext w:val="0"/>
        <w:keepLines w:val="0"/>
        <w:framePr w:w="10766" w:h="1041" w:hRule="exact" w:wrap="none" w:vAnchor="page" w:hAnchor="margin" w:x="0" w:y="8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1,5 až 2 hodin (hodinou se rozumí 60 minut). </w:t>
      </w:r>
    </w:p>
    <w:p>
      <w:pPr>
        <w:keepNext w:val="0"/>
        <w:keepLines w:val="0"/>
        <w:framePr w:w="10766" w:h="1041" w:hRule="exact" w:wrap="none" w:vAnchor="page" w:hAnchor="margin" w:x="0" w:y="83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dětské koutky, 31.7.2026 11:27:49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Domestica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BIBO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Agentura Pohoda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Agentura Harmonie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centrum služeb pro domácnost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Chůva pro dětské koutky, 31.7.2026 11:27:49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19259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9D09A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7BF16F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AFCBD3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688EA24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