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A3713" Type="http://schemas.openxmlformats.org/officeDocument/2006/relationships/officeDocument" Target="/word/document.xml" /><Relationship Id="coreR265A3713" Type="http://schemas.openxmlformats.org/package/2006/relationships/metadata/core-properties" Target="/docProps/core.xml" /><Relationship Id="customR265A3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postupech řešení různých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vývojových etapách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Uchazeč/uchazečka musí být bez logopedické vady.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Bližší pokyny k realizaci a zkoušce vybraných odborných kompetencí a kritérií hodnocení: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pomoci dítěti/dětem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budou ověřena formou praktického řešení modelových situací, slovní popis a doplnění budou využity jen tam, kde není praktické předvedení možné. Uchazeč/uchazečka bude postupně řešit bez přípravy tři modelové situace (ze souboru minimálně 10 různých) s cílem zachránit dítěti život. Zadání bude co nejkonkrétnější, kde je to možné, autorizovaná osoba situaci nebude popisovat, ale předvede, nasimuluje. Jedná se např. o bezvědomí, epileptický záchvat, úrazy hlavy, popálení, opaření, tonutí, pády, zasažení elektrickým proudem, dušení, požití drobných předmětů, tonutí, zlomeniny a krvácení, otravy, poleptání, bodnutí hmyzem a alergické reakce, poranění domácím zvířetem, přehřátí. K předvedení řešení situace bude uchazeč/uchazečka využívat resuscitační model miminka nebo resuscitační model dítěte (juniora) a další zdravotnický materiál.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metod a forem pedagogické práce s ohledem na věk dítětě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autorizovaná osoba si připraví soubor minimálně 10 různých modelových situací, které budou zahrnovat různé věkové kategorie dítěte a různé počty dětí. Uchazeč/uchazečka si s využitím daných pomůcek (přírodniny, výtvarné potřeby, kostky, loutky, maňásek, knížky a loporela) předvede ukázku tvořivé nebo pohybové individuální a kolektivní aktivity (uchazeč/uchazečka si vylosuje jedno zadání, kde bude uveden počet dětí, věk dětí ). V každém zadání bude jedna tvořivá část a jedna pohybová část). Pomůcky si uchazeč/uchazečka vybere na místě.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uchazeč/uchazečka předvede jednu řízenou aktivitu výchovně vzdělávací práci s dětmi v dětském koutku, podle svého uvážení. Vysvětlí výchovné cíle ve vztahu ke zvolené věkové kategorii dítěte a časovou dotací.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uchazeče/uchazečky: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uchazeč/uchazečka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4DD1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42E98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