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62D6E5" Type="http://schemas.openxmlformats.org/officeDocument/2006/relationships/officeDocument" Target="/word/document.xml" /><Relationship Id="coreR7F62D6E5" Type="http://schemas.openxmlformats.org/package/2006/relationships/metadata/core-properties" Target="/docProps/core.xml" /><Relationship Id="customR7F62D6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prevence úrazů a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znalostí o vývojových etapách dítěte v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02.11.2012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6:54:06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vyžadována. Uchazeč musí být bez logopedické vady.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pro ověřování kritérií ústní nebo praktickou formou soubor modelových situací.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ústní ověřování bude realizováno formou losování otázek, je nutné dodržet následující pravidla: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6:54:06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ostatní služby, ustavená a licencovaná pro tuto činnost HK ČR a SP ČR.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6:54:06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