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CC3B4" Type="http://schemas.openxmlformats.org/officeDocument/2006/relationships/officeDocument" Target="/word/document.xml" /><Relationship Id="coreR1B9CC3B4" Type="http://schemas.openxmlformats.org/package/2006/relationships/metadata/core-properties" Target="/docProps/core.xml" /><Relationship Id="customR1B9CC3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správného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02.11.2012 do: 31.07.2014</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způsoby zajištění bezpečnosti a ochrany zdraví dětí v zařízení či domácnosti dítěte s ohledem na specifika různých vnějších i vnitřních prostředí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Poskytování první pomoci dítěti/dětem</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Vyhodnotit rychle nenadálou situaci (např. bezvědomí, epileptický záchvat), určit druh, rozsah poranění či poškození a způsoby řešení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Předvést rozhovor při volání na záchranný systém</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se slovním vysvětlením</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Vysvětlit a předvést správný postup při neodkladné resuscitaci dítěte v dané věkové kategorii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Vysvětlit a předvést správný postup poskytnutí první pomoci při nejčastějších úrazech dítěte v dané věkové kategorii, tj. např. úrazy hlavy, popálení, opaření, tonutí, pády, zasažení elektrickým proudem, dušení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se slovním vysvětlením</w:t>
      </w:r>
    </w:p>
    <w:p>
      <w:pPr>
        <w:pStyle w:val="P12"/>
        <w:framePr w:w="6710" w:h="1055" w:hRule="exact" w:wrap="none" w:vAnchor="page" w:hAnchor="margin" w:x="45" w:y="9358"/>
        <w:rPr>
          <w:rStyle w:val="C3"/>
          <w:rtl w:val="0"/>
        </w:rPr>
      </w:pPr>
    </w:p>
    <w:p>
      <w:pPr>
        <w:pStyle w:val="P13"/>
        <w:framePr w:w="6658" w:h="928" w:hRule="exact" w:wrap="none" w:vAnchor="page" w:hAnchor="margin" w:x="71" w:y="9414"/>
        <w:rPr>
          <w:rStyle w:val="C11"/>
          <w:rtl w:val="0"/>
        </w:rPr>
      </w:pPr>
      <w:r>
        <w:rPr>
          <w:rStyle w:val="C11"/>
          <w:rtl w:val="0"/>
        </w:rPr>
        <w:t>e) Vysvětlit a předvést správný postup při dalších obvyklých úrazech a nehodách dítěte v dané věkové kategorii, tj. např. otravy, požití drobných předmětů, poleptání, bodnutí hmyzem, poranění domácím zvířetem, napadení parazity, úpal, úžeh, ošetření krvácení, zlomenin</w:t>
      </w:r>
    </w:p>
    <w:p>
      <w:pPr>
        <w:pStyle w:val="P28"/>
        <w:framePr w:w="3921" w:h="1055" w:hRule="exact" w:wrap="none" w:vAnchor="page" w:hAnchor="margin" w:x="6800" w:y="9358"/>
        <w:rPr>
          <w:rStyle w:val="C3"/>
          <w:rtl w:val="0"/>
        </w:rPr>
      </w:pPr>
    </w:p>
    <w:p>
      <w:pPr>
        <w:pStyle w:val="P29"/>
        <w:framePr w:w="3839" w:h="928" w:hRule="exact" w:wrap="none" w:vAnchor="page" w:hAnchor="margin" w:x="6856" w:y="9414"/>
        <w:rPr>
          <w:rStyle w:val="C21"/>
          <w:rtl w:val="0"/>
        </w:rPr>
      </w:pPr>
      <w:r>
        <w:rPr>
          <w:rStyle w:val="C21"/>
          <w:rtl w:val="0"/>
        </w:rPr>
        <w:t>Praktické předvedení se slovním vysvětlením</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Péče o běžně nemocné dítě v domácím ošetřování</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a) Rozpoznat a vyhodnotit závažnost zdravotního stavu dítěte při začínající nemoci, vysvětlit na konkrétních příkladech</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Zvolit a vysvětlit správné postupy při začínajícím i probíhajícím běžném onemocnění dítěte, vysvětlit na konkrétních příkladech</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Popsat způsoby řešení situace výskytu infekčního onemocnění u dítěte/dětí v zařízení či domácnosti dítěte</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dítěte k hygienickým návykům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hygienických návyků vzhledem k věku dítěte, zvolit vhodnou motivaci k jejich nácviku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vedení dítěte/dětí k hygienickým návykům v zařízení či domácnosti dítěte, vysvětlit na příkladech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náplň denního režimu dítěte/dětí v souvislosti s dodržováním denní hygieny v zařízení nebo v domácnosti dítěte s ohledem na věk, vysvětlit na příkladech</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Uplatňování zásad správného životního stylu podle věku dítěte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Uvést a zdůvodnit zásady správného životního stylu dítěte dané věkové kategorie i s příklady z oblasti výživy, pohybových aktivit, duševního zdraví a odpočinku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Sestavit jídelníček pro dítě dané věkové kategorie na tři dny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Uvést a charakterizovat organizační způsoby zajištění stravování dětí v zařízení či domácnosti dítěte, včetně dodržování pitného režimu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Uplatňování metod a forem pedagogické práce s ohledem na věk dítěte/dětí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Připravit ukázku hry tvořivé nebo pohybové nebo didaktické, vysvětlit její principy a cíle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se slovním vysvětlením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Vysvětlit cíle rozumové, tělesné, ekologické a estetické výchovy a uvést příklady s ohledem na věk dítěte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Písemné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Vysvětlit principy výběru vhodné hračky podle věku dítěte, uvést příklady (např. estetičnost, hygieničnost, aktivní manipulace, prostor pro tvořivost, hračka, která s dítětem roste)</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603"/>
        <w:rPr>
          <w:rStyle w:val="C3"/>
          <w:rtl w:val="0"/>
        </w:rPr>
      </w:pPr>
    </w:p>
    <w:p>
      <w:pPr>
        <w:pStyle w:val="P17"/>
        <w:framePr w:w="6658" w:h="704" w:hRule="exact" w:wrap="none" w:vAnchor="page" w:hAnchor="margin" w:x="71" w:y="11659"/>
        <w:rPr>
          <w:rStyle w:val="C13"/>
          <w:rtl w:val="0"/>
        </w:rPr>
      </w:pPr>
      <w:r>
        <w:rPr>
          <w:rStyle w:val="C13"/>
          <w:rtl w:val="0"/>
        </w:rPr>
        <w:t>d) Předvést aktivitu výchovně-vzdělávací práce s ohledem na věk dítěte (např. vyprávět úryvek pohádky, přednes říkanky s pohybem, pohybová aktivita, výtvarná, hudební aktivita)</w:t>
      </w:r>
    </w:p>
    <w:p>
      <w:pPr>
        <w:pStyle w:val="P30"/>
        <w:framePr w:w="3921" w:h="831" w:hRule="exact" w:wrap="none" w:vAnchor="page" w:hAnchor="margin" w:x="6800" w:y="11603"/>
        <w:rPr>
          <w:rStyle w:val="C3"/>
          <w:rtl w:val="0"/>
        </w:rPr>
      </w:pPr>
    </w:p>
    <w:p>
      <w:pPr>
        <w:pStyle w:val="P31"/>
        <w:framePr w:w="3839" w:h="704" w:hRule="exact" w:wrap="none" w:vAnchor="page" w:hAnchor="margin" w:x="6856" w:y="11659"/>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e) Vysvětlit stanovování výchovných hranic dítěte a principy využití motivace</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Písemné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f) Charakterizovat výchovné a vzdělávací metody při práci s dítětem (komunikace, sebeobsluha, tělesný rozvoj, rozumové schopnosti, socializace)</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g) Uvést 5 příkladů tvořivých nebo pohybových nebo didaktických her pro děti v interiéru a 5 příkladů v exteriéru, vysvětlit jejich principy a cíle</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16"/>
        <w:framePr w:w="6710" w:h="831" w:hRule="exact" w:wrap="none" w:vAnchor="page" w:hAnchor="margin" w:x="45" w:y="14248"/>
        <w:rPr>
          <w:rStyle w:val="C3"/>
          <w:rtl w:val="0"/>
        </w:rPr>
      </w:pPr>
    </w:p>
    <w:p>
      <w:pPr>
        <w:pStyle w:val="P17"/>
        <w:framePr w:w="6658" w:h="704" w:hRule="exact" w:wrap="none" w:vAnchor="page" w:hAnchor="margin" w:x="71" w:y="14304"/>
        <w:rPr>
          <w:rStyle w:val="C13"/>
          <w:rtl w:val="0"/>
        </w:rPr>
      </w:pPr>
      <w:r>
        <w:rPr>
          <w:rStyle w:val="C13"/>
          <w:rtl w:val="0"/>
        </w:rPr>
        <w:t>h) Uvést specifika výchovy v dětském kolektivu v zařízení či domácnosti dítěte včetně příkladu společné aktivity dětí, uvést praktické příklady a uvést specifika věkově heterogenní a homogenní skupiny</w:t>
      </w:r>
    </w:p>
    <w:p>
      <w:pPr>
        <w:pStyle w:val="P30"/>
        <w:framePr w:w="3921" w:h="831" w:hRule="exact" w:wrap="none" w:vAnchor="page" w:hAnchor="margin" w:x="6800" w:y="14248"/>
        <w:rPr>
          <w:rStyle w:val="C3"/>
          <w:rtl w:val="0"/>
        </w:rPr>
      </w:pPr>
    </w:p>
    <w:p>
      <w:pPr>
        <w:pStyle w:val="P31"/>
        <w:framePr w:w="3839" w:h="704" w:hRule="exact" w:wrap="none" w:vAnchor="page" w:hAnchor="margin" w:x="6856" w:y="14304"/>
        <w:rPr>
          <w:rStyle w:val="C22"/>
          <w:rtl w:val="0"/>
        </w:rPr>
      </w:pPr>
      <w:r>
        <w:rPr>
          <w:rStyle w:val="C22"/>
          <w:rtl w:val="0"/>
        </w:rPr>
        <w:t>Ústní ověření</w:t>
      </w:r>
    </w:p>
    <w:p>
      <w:pPr>
        <w:pStyle w:val="P32"/>
        <w:framePr w:w="10710" w:h="248" w:hRule="exact" w:wrap="none" w:vAnchor="page" w:hAnchor="margin" w:x="28" w:y="15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v chování dítěte, znát způsoby zvládnutí agresivity dítěte, popsat základní přístupy při práci s hyperaktivním dítětem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správný výchovný prostředek v nepříznivých výchovných situacích (např. princip práce se vzdorovitým, hyperaktivním, agresivním, neposlušným dítětem)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asertivní postupy při předcházení a eliminování nestandardních reakcí dítěte (např. záporné emoce – negace, vztek, snaha vyhnout se nepříjemnosti, dětská agresivita)</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strategii vytváření příznivých podmínek a působení na skupinu dětí v domácnosti nebo v dětském zařízení (specifika homogenní nebo heterogenní skupiny, sourozenecké vztahy, vzájemné interakce dětí mezi sebou, odloučení dítěte od matky a vhodná adaptace atd.)</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Uplatňování znalostí o vývojových etapách a socializaci dítěte v praxi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Charakterizovat jednotlivá stadia dětského vývoje v souvislosti s výkonem práce chůvy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Popsat vliv chůvy v jednotlivých věkových etapách dítěte na jeho socializaci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Vysvětlit zásady správného chování chůvy při výkonu její práce</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Charakterizovat základní etické principy práce chůvy při dlouhodobé péči o svěřené děti po dobu nepřítomnosti rodičů (dovolená, zdravotní problémy)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 xml:space="preserve">d) Prokázat orientaci v základech etické výchovy   při práci s dítětem nebo  kolektivem dětí v zařízení či domácnosti dítěte</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Písemné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 občansko-právním vztahu chůva – zaměstnavatel/klient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v oblasti služeb péče o děti a souvisejících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Prokázat obecnou orientaci v oblasti pracovněprávních vztahů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obecnou orientaci v daňové evidenci potřebné k výkonu profese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Prokázat znalost základních pravidel a podmínek při uzavírání písemné smlouvy s rodiči dětí při poskytování péče o dítě v zařízení či domácnosti dítěte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1055" w:hRule="exact" w:wrap="none" w:vAnchor="page" w:hAnchor="margin" w:x="45" w:y="7131"/>
        <w:rPr>
          <w:rStyle w:val="C3"/>
          <w:rtl w:val="0"/>
        </w:rPr>
      </w:pPr>
    </w:p>
    <w:p>
      <w:pPr>
        <w:pStyle w:val="P13"/>
        <w:framePr w:w="6658" w:h="928" w:hRule="exact" w:wrap="none" w:vAnchor="page" w:hAnchor="margin" w:x="71" w:y="7187"/>
        <w:rPr>
          <w:rStyle w:val="C11"/>
          <w:rtl w:val="0"/>
        </w:rPr>
      </w:pPr>
      <w:r>
        <w:rPr>
          <w:rStyle w:val="C11"/>
          <w:rtl w:val="0"/>
        </w:rPr>
        <w:t>a) Popsat organizační zásady při vedení dětského kolektivu v zařízení či domácnosti dítěte (např. systém evidence dětí obsahující všechny informace nezbytné k zajištění péče o děti, administrativa, archivace dokladů o hlídaných dětech)</w:t>
      </w:r>
    </w:p>
    <w:p>
      <w:pPr>
        <w:pStyle w:val="P28"/>
        <w:framePr w:w="3921" w:h="1055" w:hRule="exact" w:wrap="none" w:vAnchor="page" w:hAnchor="margin" w:x="6800" w:y="7131"/>
        <w:rPr>
          <w:rStyle w:val="C3"/>
          <w:rtl w:val="0"/>
        </w:rPr>
      </w:pPr>
    </w:p>
    <w:p>
      <w:pPr>
        <w:pStyle w:val="P29"/>
        <w:framePr w:w="3839" w:h="928"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Prokázat znalost požadavků na prostory při péči o děti, znalost základních hygienických pravidel, základní povědomí o podmínkách v oblasti stavební a požární a uvést základní subjekty, které řeší tuto problematiku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Písemné ověření</w:t>
      </w:r>
    </w:p>
    <w:p>
      <w:pPr>
        <w:pStyle w:val="P32"/>
        <w:framePr w:w="10710" w:h="248" w:hRule="exact" w:wrap="none" w:vAnchor="page" w:hAnchor="margin" w:x="28" w:y="9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Uchazeč musí být bez logopedické vady.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ověřování kritérií ústní nebo praktickou formou připraví soubor modelových situací, které budou zahrnovat všechny věkové kategorie sledovaného období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0 až 7 let věku dítěte (resp. do zahájení povinné školní docházky).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kladla při zkoušení větší důraz na ověřování kompetencí a) až d) z oblasti poskytování první pomoci.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Bližší pokyny k realizaci a zkoušce vybraných odborných kompetencí a kritérií hodnocení: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Uplatňování zásad správného životního stylu podle věku dítěte, kritérium c):</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organizačními způsoby zajištění stravování se rozumí např. zajištění stravy dítěte prostřednictvím rodičů, dovoz jídla i možnosti přípravy studené či teplé stravy z vlastních zdrojů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ústní ověřování bude realizováno formou losování otázek, je nutné dodržet následující pravidla: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písemné ověřování bude realizováno formou testu, je nutné dodržet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splňovat následující pravidla: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Testy pro jednotlivé uchazeče musí být generovány z dostatečně velkého souboru otázek, aby bylo umožněno řádově několik desítek různě sestavených testů.</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80 % otázek.</w:t>
      </w:r>
    </w:p>
    <w:p>
      <w:pPr>
        <w:pStyle w:val="P33"/>
        <w:framePr w:w="10766" w:h="1837" w:hRule="exact" w:wrap="none" w:vAnchor="page" w:hAnchor="margin" w:x="0" w:y="13443"/>
        <w:rPr>
          <w:rStyle w:val="C3"/>
          <w:rtl w:val="0"/>
        </w:rPr>
      </w:pPr>
    </w:p>
    <w:p>
      <w:pPr>
        <w:pStyle w:val="P35"/>
        <w:framePr w:w="10710" w:h="340" w:hRule="exact" w:wrap="none" w:vAnchor="page" w:hAnchor="margin" w:x="28" w:y="13443"/>
        <w:rPr>
          <w:rStyle w:val="C25"/>
          <w:rtl w:val="0"/>
        </w:rPr>
      </w:pPr>
      <w:r>
        <w:rPr>
          <w:rStyle w:val="C25"/>
          <w:rtl w:val="0"/>
        </w:rPr>
        <w:t>Výsledné hodnocení</w:t>
      </w:r>
    </w:p>
    <w:p>
      <w:pPr>
        <w:keepNext w:val="0"/>
        <w:keepLines w:val="0"/>
        <w:framePr w:w="10766" w:h="1497" w:hRule="exact" w:wrap="none" w:vAnchor="page" w:hAnchor="margin" w:x="0" w:y="13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 nebo „nesplnil “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zdravotnického pracovníka, musí zajistit, aby byl při zkoušce přítomen také zdravotnický pracovník, který není členem zkušební komise.</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psychologa.</w:t>
      </w:r>
    </w:p>
    <w:p>
      <w:pPr>
        <w:pStyle w:val="P33"/>
        <w:framePr w:w="10766" w:h="9254" w:hRule="exact" w:wrap="none" w:vAnchor="page" w:hAnchor="margin" w:x="0" w:y="4694"/>
        <w:rPr>
          <w:rStyle w:val="C3"/>
          <w:rtl w:val="0"/>
        </w:rPr>
      </w:pPr>
    </w:p>
    <w:p>
      <w:pPr>
        <w:pStyle w:val="P35"/>
        <w:framePr w:w="10710" w:h="547" w:hRule="exact" w:wrap="none" w:vAnchor="page" w:hAnchor="margin" w:x="28" w:y="469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pedagogika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pedagogiku nebo andragogiku a alespoň 5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minimálně střední vzdělání s maturitní zkouškou ze skupiny oborů vzdělání 75 Pedagogika, učitelství a sociální péče a alespoň 8 let odborné praxe v oblasti práce s dětmi ve věku od narození do zahájení povinné školní docházky, z toho minimálně jeden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pracovník musí mít minimálně vyšší odborné vzdělání nebo vysokoškolské vzdělání bakalářského stupně odborné způsobilosti pro výkon povolání všeobecné sestry, porodní asistentky nebo zdravotnického záchranáře a alespoň 5 let odborné praxe ve zdravotnictví nebo v poskytování první pomoci, z toho minimálně 1 rok v období posledních dvou let před podáním žádosti o udělení autorizace.</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5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klidná místnost,</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didaktické pomůcky (např.: hračky, stavebnice, CD – přehrávač + nahrávky, knížky),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potřeby,</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nastavení modelové situace při poskytování první pomoci (např.: zásuvka s elektrospotřebičem, žehlička),</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miminka a figurína dítěte určená k nácviku a předvedení resuscitace</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634"/>
        <w:rPr>
          <w:rStyle w:val="C3"/>
          <w:rtl w:val="0"/>
        </w:rPr>
      </w:pPr>
    </w:p>
    <w:p>
      <w:pPr>
        <w:pStyle w:val="P35"/>
        <w:framePr w:w="10710" w:h="340" w:hRule="exact" w:wrap="none" w:vAnchor="page" w:hAnchor="margin" w:x="28" w:y="5634"/>
        <w:rPr>
          <w:rStyle w:val="C25"/>
          <w:rtl w:val="0"/>
        </w:rPr>
      </w:pPr>
      <w:r>
        <w:rPr>
          <w:rStyle w:val="C25"/>
          <w:rtl w:val="0"/>
        </w:rPr>
        <w:t>Doba přípravy na zkoušku</w:t>
      </w:r>
    </w:p>
    <w:p>
      <w:pPr>
        <w:keepNext w:val="0"/>
        <w:keepLines w:val="0"/>
        <w:framePr w:w="10766" w:h="1036" w:hRule="exact" w:wrap="none" w:vAnchor="page" w:hAnchor="margin" w:x="0" w:y="5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pro vykonání zkoušky</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děti do zahájení povinné školní docházky, 25.8.2026 17:35:27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