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143C6A" Type="http://schemas.openxmlformats.org/officeDocument/2006/relationships/officeDocument" Target="/word/document.xml" /><Relationship Id="coreR62143C6A" Type="http://schemas.openxmlformats.org/package/2006/relationships/metadata/core-properties" Target="/docProps/core.xml" /><Relationship Id="customR62143C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malými jatečnými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malými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Přeprava drůbeže na porážku a přísun k lince na zpracování drůbeže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Navěšování drůbeže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Omračování a vykrvování drůbeže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Přeprava králíků na porážku a přísun k lince na zpracování králíků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Omračování králíků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Navěšování a vykrvování králíků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https://nsp.cz/jednotka-prace/pracovnik-pro-radne-zacha#zdravotni-zpusobilost).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po ověření kritérií s praktickým předvedením následně sleduje a posuzuje práci zaměstnanců u jednotlivých technologických operací.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chováním zvířat, prevencí utrpení zvířat, vědomím a citlivostí, prevencí stresu malých zvířat, kritérium d)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správnou manipulací s malými zvířaty a jejich znehybňováním, kritéria a), c), d)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základní údržbou a čištěním omračovacích nebo usmrcovacích zařízení, kritéria a), b)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vhodným používáním a údržbou vykrvovacích zařízení a nožů, kritérium a)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jatek, nebo kritérium zkoušet modelově (zaměstnance zastoupí zkoušející).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drůbeže a 3 kusy králíků.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 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C1823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