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1B422" Type="http://schemas.openxmlformats.org/officeDocument/2006/relationships/officeDocument" Target="/word/document.xml" /><Relationship Id="coreR6891B422" Type="http://schemas.openxmlformats.org/package/2006/relationships/metadata/core-properties" Target="/docProps/core.xml" /><Relationship Id="customR6891B4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linky pro výrobu premixů (kód: 29-032-M)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výrobu krmných směsí a premixů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výrobního procesu na plně automatické nebo poloautomatické výrobní lince pro premixy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výroby krmných směsí pomocí softwarového programu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správné praxe pro výrobu premixů a medikovaných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Vzorkování doplňkových látek a premixů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Charakterizování chemicko-fyzikálních vlastností používaných doplňkových látek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oboru krmivářství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31.10.2012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30.9.2026 7:37:20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oboru.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„Nastavení výrobního procesu na plně automatické nebo poloautomatické výrobní lince pro premixy“ probíhá zkoušení až do iniciace výrobní linky.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30.9.2026 7:37:20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linky pro výrobu premixů, 30.9.2026 7:37:20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