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F55022" Type="http://schemas.openxmlformats.org/officeDocument/2006/relationships/officeDocument" Target="/word/document.xml" /><Relationship Id="coreRCF55022" Type="http://schemas.openxmlformats.org/package/2006/relationships/metadata/core-properties" Target="/docProps/core.xml" /><Relationship Id="customRCF550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linky pro výrobu krmných směsí (kód: 29-031-M)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strojů a zařízení pro výrobu krmných směsí a premixů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Nastavení výrobního procesu na plně automatické nebo poloautomatické výrobní lince pro výrobu krmné směsi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výroby krmných směsí pomocí softwarového programu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zásad správné praxe pro výrobu krmných směsí a medikovaných krmiv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Kvalitativní posouzení krmných surovin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Vzorkování volně ložených a pytlovaných krmiv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normách, standardech a právních předpisech používaných v oboru krmivářství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linky pro výrobu krmných směsí, 20.10.2026 7:32:24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na odbornou způsobilost pro výrobu krmiv s použitím doplňkových látek nebo premixů stanoví zákon č. 91/1996 Sb., o krmivech v § 6, ve znění pozdějších předpisů a vyhláška č. 295/2015 Sb., o provedení některých ustanovení zákona o krmivech v § 8, ve znění pozdějších předpisů.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„Nastavení výrobního procesu na plně automatické nebo poloautomatické výrobní lince pro krmné směsi“ probíhá zkoušení až do iniciace výrobní linky.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„Řízení výroby krmných směsí pomocí softwarového programu" si zkoušející připraví výrobní recepturu k vložení jejího zadání.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„Orientace v normách, standardech a právních předpisech používaných v oboru krmivářství" bude použit počítač s přístupem na internet pro předvedení orientace v právních předpisech, technických normách a standardech používaných v oboru. Zkoušející zadá uchazeči vyhledat 3 položky v katalogu a rejstříku krmných surovin EU.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linky pro výrobu krmných směsí, 20.10.2026 7:32:24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linky pro výrobu krmných směsí, 20.10.2026 7:32:24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