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C815F1" Type="http://schemas.openxmlformats.org/officeDocument/2006/relationships/officeDocument" Target="/word/document.xml" /><Relationship Id="coreR43C815F1" Type="http://schemas.openxmlformats.org/package/2006/relationships/metadata/core-properties" Target="/docProps/core.xml" /><Relationship Id="customR43C815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linky pro výrobu krmných směsí (kód: 29-031-M)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výrobu krmných směsí a premixů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plně automatické nebo poloautomatické výrobní lince pro výrobu krmné směsi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výroby krmných směsí pomocí softwarového programu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zásad správné praxe pro výrobu krmných směsí a medikovaných krmiv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Kvalitativní posouzení krmných surovin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Vzorkování volně ložených a pytlovaných krmiv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normách, standardech a právních předpisech používaných v oboru krmivářství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krmných směsí, 30.9.2026 2:33:41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odbornou způsobilost pro výrobu krmiv s použitím doplňkových látek nebo premixů stanoví zákon č. 91/1996 Sb., o krmivech v § 6, ve znění pozdějších předpisů a vyhláška č. 295/2015 Sb., o provedení některých ustanovení zákona o krmivech v § 8, ve znění pozdějších předpisů.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„Nastavení výrobního procesu na plně automatické nebo poloautomatické výrobní lince pro krmné směsi“ probíhá zkoušení až do iniciace výrobní linky.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„Řízení výroby krmných směsí pomocí softwarového programu" si zkoušející připraví výrobní recepturu k vložení jejího zadání.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„Orientace v normách, standardech a právních předpisech používaných v oboru krmivářství" bude použit počítač s přístupem na internet pro předvedení orientace v právních předpisech, technických normách a standardech používaných v oboru. Zkoušející zadá uchazeči vyhledat 3 položky v katalogu a rejstříku krmných surovin EU.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krmných směsí, 30.9.2026 2:33:41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krmných směsí, 30.9.2026 2:33:41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